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52168" w14:textId="77777777" w:rsidR="00DD5C80" w:rsidRPr="0050296E" w:rsidRDefault="00717E92" w:rsidP="00DD5C80">
      <w:pPr>
        <w:rPr>
          <w:b/>
          <w:sz w:val="24"/>
          <w:szCs w:val="24"/>
        </w:rPr>
      </w:pPr>
      <w:r w:rsidRPr="0050296E">
        <w:rPr>
          <w:b/>
          <w:sz w:val="24"/>
          <w:szCs w:val="24"/>
        </w:rPr>
        <w:t>Príloha - Identifikácia synergických a komplementárnych účinkov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1403EA" w14:paraId="71C2CCD0" w14:textId="77777777" w:rsidTr="00545A16">
        <w:trPr>
          <w:trHeight w:val="429"/>
        </w:trPr>
        <w:tc>
          <w:tcPr>
            <w:tcW w:w="9067" w:type="dxa"/>
            <w:gridSpan w:val="2"/>
            <w:shd w:val="clear" w:color="auto" w:fill="0070C0"/>
            <w:vAlign w:val="center"/>
          </w:tcPr>
          <w:p w14:paraId="66FF789B" w14:textId="7A5E7180" w:rsidR="009D5A44" w:rsidRPr="0050296E" w:rsidRDefault="006A7216" w:rsidP="00322572">
            <w:pPr>
              <w:jc w:val="center"/>
              <w:rPr>
                <w:rFonts w:cs="Arial"/>
                <w:b/>
                <w:color w:val="000000" w:themeColor="text1"/>
                <w:highlight w:val="yellow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Základné údaje</w:t>
            </w:r>
            <w:r w:rsidR="001403EA" w:rsidRPr="0050296E">
              <w:rPr>
                <w:rFonts w:cs="Arial"/>
                <w:b/>
                <w:color w:val="FFFFFF" w:themeColor="background1"/>
              </w:rPr>
              <w:t xml:space="preserve"> výzvy / projektového zámeru </w:t>
            </w:r>
          </w:p>
        </w:tc>
      </w:tr>
      <w:tr w:rsidR="00E12B8E" w14:paraId="6EC8A07D" w14:textId="77777777" w:rsidTr="0050296E">
        <w:tc>
          <w:tcPr>
            <w:tcW w:w="3256" w:type="dxa"/>
          </w:tcPr>
          <w:p w14:paraId="59384717" w14:textId="77777777" w:rsidR="00E12B8E" w:rsidRPr="00D10F9E" w:rsidRDefault="00E12B8E" w:rsidP="00E12B8E">
            <w:r w:rsidRPr="00545A16">
              <w:t xml:space="preserve">Názov výzvy / </w:t>
            </w:r>
            <w:r w:rsidRPr="00E12B8E">
              <w:rPr>
                <w:strike/>
              </w:rPr>
              <w:t>projektového zámeru:</w:t>
            </w:r>
            <w:r w:rsidRPr="00545A16">
              <w:t xml:space="preserve">  </w:t>
            </w:r>
          </w:p>
        </w:tc>
        <w:tc>
          <w:tcPr>
            <w:tcW w:w="5811" w:type="dxa"/>
          </w:tcPr>
          <w:p w14:paraId="5F0C1D30" w14:textId="77777777" w:rsidR="00E12B8E" w:rsidRPr="00447812" w:rsidRDefault="00E40107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40107">
              <w:rPr>
                <w:b/>
              </w:rPr>
              <w:t>Podpora spracovania rýb</w:t>
            </w:r>
          </w:p>
        </w:tc>
      </w:tr>
      <w:tr w:rsidR="00E12B8E" w14:paraId="40CD78B3" w14:textId="77777777" w:rsidTr="0050296E">
        <w:tc>
          <w:tcPr>
            <w:tcW w:w="3256" w:type="dxa"/>
          </w:tcPr>
          <w:p w14:paraId="21C1C463" w14:textId="77777777" w:rsidR="00E12B8E" w:rsidRPr="00545A16" w:rsidRDefault="00E12B8E" w:rsidP="00E12B8E">
            <w:r w:rsidRPr="00545A16">
              <w:t xml:space="preserve">Kód výzvy: </w:t>
            </w:r>
          </w:p>
          <w:p w14:paraId="2197CFE0" w14:textId="77777777" w:rsidR="00E12B8E" w:rsidRPr="00D10F9E" w:rsidRDefault="00E12B8E" w:rsidP="00E12B8E"/>
        </w:tc>
        <w:tc>
          <w:tcPr>
            <w:tcW w:w="5811" w:type="dxa"/>
          </w:tcPr>
          <w:p w14:paraId="580E89E8" w14:textId="77777777" w:rsidR="00E12B8E" w:rsidRPr="00447812" w:rsidRDefault="00B16851" w:rsidP="00B16851">
            <w:pPr>
              <w:spacing w:after="120"/>
              <w:rPr>
                <w:rFonts w:eastAsia="Times New Roman" w:cstheme="minorHAnsi"/>
                <w:b/>
                <w:highlight w:val="yellow"/>
                <w:lang w:eastAsia="sk-SK"/>
              </w:rPr>
            </w:pPr>
            <w:r>
              <w:rPr>
                <w:b/>
              </w:rPr>
              <w:t>PRH-MPRV-002</w:t>
            </w:r>
            <w:r w:rsidR="00E12B8E" w:rsidRPr="00ED545B">
              <w:rPr>
                <w:b/>
              </w:rPr>
              <w:t>-202</w:t>
            </w:r>
            <w:r>
              <w:rPr>
                <w:b/>
              </w:rPr>
              <w:t>5</w:t>
            </w:r>
            <w:r w:rsidR="00E12B8E" w:rsidRPr="00ED545B">
              <w:rPr>
                <w:b/>
              </w:rPr>
              <w:t>-DV-ENRAF</w:t>
            </w:r>
          </w:p>
        </w:tc>
      </w:tr>
      <w:tr w:rsidR="00E12B8E" w14:paraId="7B35FE46" w14:textId="77777777" w:rsidTr="0050296E">
        <w:tc>
          <w:tcPr>
            <w:tcW w:w="3256" w:type="dxa"/>
          </w:tcPr>
          <w:p w14:paraId="259C48B1" w14:textId="77777777" w:rsidR="00E12B8E" w:rsidRPr="00D10F9E" w:rsidRDefault="00E12B8E" w:rsidP="00E12B8E">
            <w:r w:rsidRPr="00D10F9E">
              <w:t>Priorita:</w:t>
            </w:r>
          </w:p>
          <w:p w14:paraId="779D63B9" w14:textId="77777777" w:rsidR="00E12B8E" w:rsidRPr="00D10F9E" w:rsidRDefault="00E12B8E" w:rsidP="00E12B8E"/>
        </w:tc>
        <w:tc>
          <w:tcPr>
            <w:tcW w:w="5811" w:type="dxa"/>
          </w:tcPr>
          <w:p w14:paraId="6C079D9A" w14:textId="77777777" w:rsidR="00E12B8E" w:rsidRPr="00E648CD" w:rsidRDefault="00E12B8E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D545B">
              <w:rPr>
                <w:rFonts w:eastAsia="Times New Roman" w:cstheme="minorHAnsi"/>
                <w:b/>
                <w:lang w:eastAsia="sk-SK"/>
              </w:rPr>
              <w:t>Priorita 2 Podpora udržateľných akvakultúrnych činností, spracovania a uvádzania produktov rybolovu a akvakultúry na trh, čím sa prispeje k potravinovej bezpečnosti v Únii</w:t>
            </w:r>
          </w:p>
        </w:tc>
      </w:tr>
      <w:tr w:rsidR="00E12B8E" w14:paraId="0BB482CB" w14:textId="77777777" w:rsidTr="0050296E">
        <w:tc>
          <w:tcPr>
            <w:tcW w:w="3256" w:type="dxa"/>
          </w:tcPr>
          <w:p w14:paraId="6168C1D5" w14:textId="77777777" w:rsidR="00E12B8E" w:rsidRPr="00D10F9E" w:rsidRDefault="00E12B8E" w:rsidP="00E12B8E">
            <w:r w:rsidRPr="00D10F9E">
              <w:t>Špecifický cieľ:</w:t>
            </w:r>
          </w:p>
          <w:p w14:paraId="0AE0F2B5" w14:textId="77777777" w:rsidR="00E12B8E" w:rsidRPr="00D10F9E" w:rsidRDefault="00E12B8E" w:rsidP="00E12B8E"/>
        </w:tc>
        <w:tc>
          <w:tcPr>
            <w:tcW w:w="5811" w:type="dxa"/>
          </w:tcPr>
          <w:p w14:paraId="72CBB390" w14:textId="77777777" w:rsidR="00E12B8E" w:rsidRPr="00E648CD" w:rsidRDefault="00E40107" w:rsidP="00E12B8E">
            <w:pPr>
              <w:spacing w:after="120"/>
              <w:rPr>
                <w:rFonts w:eastAsia="Times New Roman" w:cstheme="minorHAnsi"/>
                <w:b/>
                <w:lang w:eastAsia="sk-SK"/>
              </w:rPr>
            </w:pPr>
            <w:r w:rsidRPr="00E40107">
              <w:rPr>
                <w:rFonts w:cstheme="minorHAnsi"/>
              </w:rPr>
              <w:t>2.2 Podpora uvádzania produktov rybolovu a akvakultúry na trh, ako aj podpora ich kvality, pridanej hodnoty a spracovania</w:t>
            </w:r>
          </w:p>
        </w:tc>
      </w:tr>
      <w:tr w:rsidR="00E12B8E" w14:paraId="63D011E5" w14:textId="77777777" w:rsidTr="0050296E">
        <w:tc>
          <w:tcPr>
            <w:tcW w:w="3256" w:type="dxa"/>
          </w:tcPr>
          <w:p w14:paraId="270A5361" w14:textId="77777777" w:rsidR="00E12B8E" w:rsidRPr="00D10F9E" w:rsidRDefault="00E12B8E" w:rsidP="00E12B8E">
            <w:r w:rsidRPr="00D10F9E">
              <w:t>Opatrenie (ak relevantné)</w:t>
            </w:r>
            <w:r>
              <w:t>:</w:t>
            </w:r>
          </w:p>
          <w:p w14:paraId="522D7B77" w14:textId="77777777" w:rsidR="00E12B8E" w:rsidRPr="00D10F9E" w:rsidRDefault="00E12B8E" w:rsidP="00E12B8E"/>
        </w:tc>
        <w:tc>
          <w:tcPr>
            <w:tcW w:w="5811" w:type="dxa"/>
          </w:tcPr>
          <w:p w14:paraId="35E66C28" w14:textId="77777777" w:rsidR="00E12B8E" w:rsidRPr="00E648CD" w:rsidRDefault="00E12B8E" w:rsidP="00E12B8E">
            <w:pPr>
              <w:spacing w:after="120"/>
              <w:rPr>
                <w:rFonts w:eastAsia="Times New Roman" w:cstheme="minorHAnsi"/>
                <w:b/>
                <w:highlight w:val="yellow"/>
                <w:lang w:eastAsia="sk-SK"/>
              </w:rPr>
            </w:pPr>
            <w:r w:rsidRPr="00ED545B">
              <w:rPr>
                <w:rFonts w:cstheme="minorHAnsi"/>
              </w:rPr>
              <w:t>O2 - Podpora udržateľnej akvakultúry</w:t>
            </w:r>
          </w:p>
        </w:tc>
      </w:tr>
      <w:tr w:rsidR="00E12B8E" w14:paraId="1E0B6615" w14:textId="77777777" w:rsidTr="0050296E">
        <w:tc>
          <w:tcPr>
            <w:tcW w:w="3256" w:type="dxa"/>
          </w:tcPr>
          <w:p w14:paraId="404B7674" w14:textId="77777777" w:rsidR="00E12B8E" w:rsidRPr="00D10F9E" w:rsidRDefault="00E12B8E" w:rsidP="00E12B8E">
            <w:r w:rsidRPr="00545A16">
              <w:t>Sprostredkovateľský orgán / Implementačný subjekt (SO / IS)</w:t>
            </w:r>
            <w:r>
              <w:t>:</w:t>
            </w:r>
          </w:p>
        </w:tc>
        <w:tc>
          <w:tcPr>
            <w:tcW w:w="5811" w:type="dxa"/>
          </w:tcPr>
          <w:p w14:paraId="2A0C0813" w14:textId="77777777" w:rsidR="00E12B8E" w:rsidRPr="00ED545B" w:rsidRDefault="00E12B8E" w:rsidP="00E12B8E">
            <w:pPr>
              <w:rPr>
                <w:rFonts w:cstheme="minorHAnsi"/>
              </w:rPr>
            </w:pPr>
            <w:r w:rsidRPr="00ED545B">
              <w:rPr>
                <w:rFonts w:cstheme="minorHAnsi"/>
              </w:rPr>
              <w:t>Ministerstvo pôdohospodárstva a rozvoja vidieka</w:t>
            </w:r>
          </w:p>
          <w:p w14:paraId="2A9E82C4" w14:textId="77777777" w:rsidR="00E12B8E" w:rsidRPr="00ED545B" w:rsidRDefault="00E12B8E" w:rsidP="00E12B8E">
            <w:pPr>
              <w:rPr>
                <w:rFonts w:cstheme="minorHAnsi"/>
              </w:rPr>
            </w:pPr>
            <w:r w:rsidRPr="00ED545B">
              <w:rPr>
                <w:rFonts w:cstheme="minorHAnsi"/>
              </w:rPr>
              <w:t>Slovenskej republiky ako riadiaci orgán pre Program rybné hospodárstvo Slovenskej republiky 2021 – 2027</w:t>
            </w:r>
          </w:p>
        </w:tc>
      </w:tr>
      <w:tr w:rsidR="00E12B8E" w14:paraId="21C04CC3" w14:textId="77777777" w:rsidTr="0050296E">
        <w:tc>
          <w:tcPr>
            <w:tcW w:w="3256" w:type="dxa"/>
          </w:tcPr>
          <w:p w14:paraId="3657F50B" w14:textId="77777777" w:rsidR="00E12B8E" w:rsidRPr="00D10F9E" w:rsidRDefault="00E12B8E" w:rsidP="00E12B8E">
            <w:r w:rsidRPr="00D10F9E">
              <w:t>Podporené aktivity:</w:t>
            </w:r>
          </w:p>
          <w:p w14:paraId="6760706C" w14:textId="77777777" w:rsidR="00E12B8E" w:rsidRPr="00D10F9E" w:rsidRDefault="00E12B8E" w:rsidP="00E12B8E"/>
        </w:tc>
        <w:tc>
          <w:tcPr>
            <w:tcW w:w="5811" w:type="dxa"/>
          </w:tcPr>
          <w:p w14:paraId="79C5DFBC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 xml:space="preserve">ďalší rozvoj a modernizácia súčasných </w:t>
            </w:r>
            <w:proofErr w:type="spellStart"/>
            <w:r w:rsidRPr="00B149A0">
              <w:rPr>
                <w:rFonts w:cstheme="minorHAnsi"/>
                <w:iCs/>
              </w:rPr>
              <w:t>spracovní</w:t>
            </w:r>
            <w:proofErr w:type="spellEnd"/>
            <w:r w:rsidRPr="00B149A0">
              <w:rPr>
                <w:rFonts w:cstheme="minorHAnsi"/>
                <w:iCs/>
              </w:rPr>
              <w:t xml:space="preserve"> rýb, ako aj výstavba nových kapacít,</w:t>
            </w:r>
          </w:p>
          <w:p w14:paraId="37251CD8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 xml:space="preserve">náklady súvisiace so zavedením procesov a technológii v súvislosti so skvalitnením zberu údajov a </w:t>
            </w:r>
            <w:proofErr w:type="spellStart"/>
            <w:r w:rsidRPr="00B149A0">
              <w:rPr>
                <w:rFonts w:cstheme="minorHAnsi"/>
                <w:iCs/>
              </w:rPr>
              <w:t>vysledovateľnosťou</w:t>
            </w:r>
            <w:proofErr w:type="spellEnd"/>
            <w:r w:rsidRPr="00B149A0">
              <w:rPr>
                <w:rFonts w:cstheme="minorHAnsi"/>
                <w:iCs/>
              </w:rPr>
              <w:t xml:space="preserve"> produktov spracovania rýb,</w:t>
            </w:r>
          </w:p>
          <w:p w14:paraId="25D05387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>znižovanie spotreby energií potrebných na chladenie a mrazenie - využívanie moderných a účinných technológii ako aj dôkladnejšieho zateplenia výrobných priestorov a skladov, prípadne využitím obnoviteľných zdrojov energií,</w:t>
            </w:r>
          </w:p>
          <w:p w14:paraId="44211957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>doplnenie alebo rozšírenie technologických liniek na zavedenie nových výrobkov z rýb,</w:t>
            </w:r>
          </w:p>
          <w:p w14:paraId="44D5FA65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>prechod na novo zavedené štandardy a hygienické normy v spracovaní rýb, teda reagovať na prijaté legislatívne zmeny,</w:t>
            </w:r>
          </w:p>
          <w:p w14:paraId="5FF3BBB9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>automobily potrebné k rozvozu spracovaných rýb - špecializované autá s chladiarenskou alebo mraziarenskou nadstavbou, šetrnejšie dopravné prostriedky k životnému prostrediu,</w:t>
            </w:r>
          </w:p>
          <w:p w14:paraId="2475898A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 xml:space="preserve">modernizácia menších technologických zariadení na spracovanie rýb alebo ich balenie či označovanie - novo vyvinuté výrobky a obaly by mali umožňovať </w:t>
            </w:r>
            <w:proofErr w:type="spellStart"/>
            <w:r w:rsidRPr="00B149A0">
              <w:rPr>
                <w:rFonts w:cstheme="minorHAnsi"/>
                <w:iCs/>
              </w:rPr>
              <w:t>vysledovateľnosť</w:t>
            </w:r>
            <w:proofErr w:type="spellEnd"/>
            <w:r w:rsidRPr="00B149A0">
              <w:rPr>
                <w:rFonts w:cstheme="minorHAnsi"/>
                <w:iCs/>
              </w:rPr>
              <w:t xml:space="preserve"> produktov a zároveň poskytnúť spotrebiteľovi všetky potrebné informácie,</w:t>
            </w:r>
          </w:p>
          <w:p w14:paraId="4C2A4B19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iCs/>
              </w:rPr>
            </w:pPr>
            <w:r w:rsidRPr="00B149A0">
              <w:rPr>
                <w:rFonts w:cstheme="minorHAnsi"/>
                <w:iCs/>
              </w:rPr>
              <w:t xml:space="preserve">modernizácia nevýrobných a podporných činností (sklady obalového materiálu a pod., spevnené plochy - nekryté sklady na stredisku a príjazdové komunikácie a pod., vybudovanie elektrických prípojok, oplotenie, elektrické </w:t>
            </w:r>
            <w:proofErr w:type="spellStart"/>
            <w:r w:rsidRPr="00B149A0">
              <w:rPr>
                <w:rFonts w:cstheme="minorHAnsi"/>
                <w:iCs/>
              </w:rPr>
              <w:t>ohradníky</w:t>
            </w:r>
            <w:proofErr w:type="spellEnd"/>
            <w:r w:rsidRPr="00B149A0">
              <w:rPr>
                <w:rFonts w:cstheme="minorHAnsi"/>
                <w:iCs/>
              </w:rPr>
              <w:t xml:space="preserve">  a pod.),</w:t>
            </w:r>
          </w:p>
          <w:p w14:paraId="0D8FE15E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bCs/>
                <w:iCs/>
              </w:rPr>
            </w:pPr>
            <w:r w:rsidRPr="00B149A0">
              <w:rPr>
                <w:rFonts w:cstheme="minorHAnsi"/>
                <w:iCs/>
              </w:rPr>
              <w:t xml:space="preserve">zlepšovanie podmienok pre zamestnancov (stavba alebo rekonštrukcia šatní a zázemia pre zamestnancov), </w:t>
            </w:r>
          </w:p>
          <w:p w14:paraId="63C57A1C" w14:textId="77777777" w:rsidR="00E40107" w:rsidRPr="00B149A0" w:rsidRDefault="00E40107" w:rsidP="00E40107">
            <w:pPr>
              <w:pStyle w:val="Odsekzoznamu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bCs/>
                <w:iCs/>
              </w:rPr>
            </w:pPr>
            <w:r w:rsidRPr="00B149A0">
              <w:rPr>
                <w:rFonts w:cstheme="minorHAnsi"/>
                <w:iCs/>
              </w:rPr>
              <w:lastRenderedPageBreak/>
              <w:t>zariadenia na meranie a zaznamenávanie spotreby vody, kamerové a monitorovacie systémy a pod.</w:t>
            </w:r>
          </w:p>
          <w:p w14:paraId="29EA6F65" w14:textId="77777777" w:rsidR="00E12B8E" w:rsidRPr="004412F7" w:rsidRDefault="00E12B8E" w:rsidP="00E40107">
            <w:pPr>
              <w:ind w:left="318" w:hanging="284"/>
              <w:rPr>
                <w:iCs/>
              </w:rPr>
            </w:pPr>
          </w:p>
        </w:tc>
      </w:tr>
      <w:tr w:rsidR="00E12B8E" w14:paraId="06562465" w14:textId="77777777" w:rsidTr="0050296E">
        <w:tc>
          <w:tcPr>
            <w:tcW w:w="3256" w:type="dxa"/>
          </w:tcPr>
          <w:p w14:paraId="694D8ADC" w14:textId="77777777" w:rsidR="00E12B8E" w:rsidRDefault="00E12B8E" w:rsidP="00E12B8E">
            <w:r w:rsidRPr="00D10F9E">
              <w:lastRenderedPageBreak/>
              <w:t>Oprávnení žiadatelia:</w:t>
            </w:r>
          </w:p>
          <w:p w14:paraId="5ED518B3" w14:textId="77777777" w:rsidR="00E12B8E" w:rsidRPr="006A1B84" w:rsidRDefault="00E12B8E" w:rsidP="00E12B8E">
            <w:r w:rsidRPr="006A1B84">
              <w:t xml:space="preserve">(ak relevantné, uveďte aj </w:t>
            </w:r>
            <w:r>
              <w:t>oprávnených partnerov</w:t>
            </w:r>
            <w:r w:rsidRPr="006A1B84">
              <w:t>)</w:t>
            </w:r>
          </w:p>
          <w:p w14:paraId="302171C1" w14:textId="77777777" w:rsidR="00E12B8E" w:rsidRPr="00D10F9E" w:rsidRDefault="00E12B8E" w:rsidP="00E12B8E"/>
        </w:tc>
        <w:tc>
          <w:tcPr>
            <w:tcW w:w="5811" w:type="dxa"/>
          </w:tcPr>
          <w:p w14:paraId="2FA24D85" w14:textId="77777777" w:rsidR="00660A87" w:rsidRDefault="00E40107" w:rsidP="00660A87">
            <w:pPr>
              <w:numPr>
                <w:ilvl w:val="0"/>
                <w:numId w:val="9"/>
              </w:numPr>
              <w:tabs>
                <w:tab w:val="left" w:pos="1695"/>
              </w:tabs>
              <w:spacing w:after="160"/>
              <w:ind w:left="306" w:hanging="257"/>
              <w:contextualSpacing/>
              <w:rPr>
                <w:rFonts w:eastAsia="Calibri" w:cstheme="minorHAnsi"/>
                <w:szCs w:val="20"/>
              </w:rPr>
            </w:pPr>
            <w:r w:rsidRPr="00794B31">
              <w:rPr>
                <w:rFonts w:eastAsia="Calibri" w:cstheme="minorHAnsi"/>
                <w:szCs w:val="20"/>
              </w:rPr>
              <w:t>Fyzické osoby (ďalej len „FO“) a právnické osoby (ďalej len „PO“)</w:t>
            </w:r>
            <w:r w:rsidRPr="00794B31">
              <w:rPr>
                <w:rFonts w:eastAsia="Calibri" w:cstheme="minorHAnsi"/>
                <w:spacing w:val="-2"/>
                <w:szCs w:val="20"/>
              </w:rPr>
              <w:t xml:space="preserve"> </w:t>
            </w:r>
            <w:r w:rsidRPr="00794B31">
              <w:rPr>
                <w:rFonts w:eastAsia="Calibri" w:cstheme="minorHAnsi"/>
                <w:szCs w:val="20"/>
              </w:rPr>
              <w:t xml:space="preserve">(subjekty s podnikateľskou históriou v čase predloženia </w:t>
            </w:r>
            <w:proofErr w:type="spellStart"/>
            <w:r w:rsidRPr="00794B31">
              <w:rPr>
                <w:rFonts w:eastAsia="Calibri" w:cstheme="minorHAnsi"/>
                <w:szCs w:val="20"/>
              </w:rPr>
              <w:t>ŽoNFP</w:t>
            </w:r>
            <w:proofErr w:type="spellEnd"/>
            <w:r w:rsidRPr="00794B31">
              <w:rPr>
                <w:rFonts w:eastAsia="Calibri" w:cstheme="minorHAnsi"/>
                <w:szCs w:val="20"/>
              </w:rPr>
              <w:t xml:space="preserve"> a subjekty bez podnikateľskej histórie v čase predloženia </w:t>
            </w:r>
            <w:proofErr w:type="spellStart"/>
            <w:r w:rsidRPr="00794B31">
              <w:rPr>
                <w:rFonts w:eastAsia="Calibri" w:cstheme="minorHAnsi"/>
                <w:szCs w:val="20"/>
              </w:rPr>
              <w:t>ŽoNFP</w:t>
            </w:r>
            <w:proofErr w:type="spellEnd"/>
            <w:r w:rsidRPr="00794B31">
              <w:rPr>
                <w:rFonts w:eastAsia="Calibri" w:cstheme="minorHAnsi"/>
                <w:szCs w:val="20"/>
              </w:rPr>
              <w:t>)</w:t>
            </w:r>
            <w:r>
              <w:rPr>
                <w:rFonts w:eastAsia="Calibri" w:cstheme="minorHAnsi"/>
                <w:szCs w:val="20"/>
              </w:rPr>
              <w:t>;</w:t>
            </w:r>
          </w:p>
          <w:p w14:paraId="4B9319B2" w14:textId="77777777" w:rsidR="00660A87" w:rsidRDefault="00E40107" w:rsidP="00660A87">
            <w:pPr>
              <w:numPr>
                <w:ilvl w:val="0"/>
                <w:numId w:val="9"/>
              </w:numPr>
              <w:tabs>
                <w:tab w:val="left" w:pos="1695"/>
              </w:tabs>
              <w:spacing w:after="160"/>
              <w:ind w:left="306" w:hanging="257"/>
              <w:contextualSpacing/>
              <w:rPr>
                <w:rFonts w:eastAsia="Calibri" w:cstheme="minorHAnsi"/>
                <w:szCs w:val="20"/>
              </w:rPr>
            </w:pPr>
            <w:r w:rsidRPr="00660A87">
              <w:rPr>
                <w:rFonts w:eastAsia="Calibri" w:cstheme="minorHAnsi"/>
                <w:szCs w:val="20"/>
              </w:rPr>
              <w:t>ostatné subjekty verejnej správy a územnej samosprávy;</w:t>
            </w:r>
          </w:p>
          <w:p w14:paraId="713FCC08" w14:textId="77777777" w:rsidR="00660A87" w:rsidRDefault="00E40107" w:rsidP="00660A87">
            <w:pPr>
              <w:numPr>
                <w:ilvl w:val="0"/>
                <w:numId w:val="9"/>
              </w:numPr>
              <w:tabs>
                <w:tab w:val="left" w:pos="1695"/>
              </w:tabs>
              <w:spacing w:after="160"/>
              <w:ind w:left="306" w:hanging="257"/>
              <w:contextualSpacing/>
              <w:rPr>
                <w:rFonts w:eastAsia="Calibri" w:cstheme="minorHAnsi"/>
                <w:szCs w:val="20"/>
              </w:rPr>
            </w:pPr>
            <w:r w:rsidRPr="00660A87">
              <w:rPr>
                <w:rFonts w:eastAsia="Calibri" w:cstheme="minorHAnsi"/>
                <w:szCs w:val="20"/>
              </w:rPr>
              <w:t>mimovládne neziskové organizácie;</w:t>
            </w:r>
          </w:p>
          <w:p w14:paraId="03F25271" w14:textId="217DC6C9" w:rsidR="00E40107" w:rsidRPr="00660A87" w:rsidRDefault="00E40107" w:rsidP="00660A87">
            <w:pPr>
              <w:numPr>
                <w:ilvl w:val="0"/>
                <w:numId w:val="9"/>
              </w:numPr>
              <w:tabs>
                <w:tab w:val="left" w:pos="1695"/>
              </w:tabs>
              <w:spacing w:after="160"/>
              <w:ind w:left="306" w:hanging="257"/>
              <w:contextualSpacing/>
              <w:rPr>
                <w:rFonts w:eastAsia="Calibri" w:cstheme="minorHAnsi"/>
                <w:szCs w:val="20"/>
              </w:rPr>
            </w:pPr>
            <w:r w:rsidRPr="00660A87">
              <w:rPr>
                <w:rFonts w:eastAsia="Calibri" w:cstheme="minorHAnsi"/>
                <w:szCs w:val="20"/>
              </w:rPr>
              <w:t>samostatne hospodáriaci roľníci (ďalej len  „SHR“);</w:t>
            </w:r>
          </w:p>
          <w:p w14:paraId="02515C7F" w14:textId="77777777" w:rsidR="00E12B8E" w:rsidRPr="00E40107" w:rsidRDefault="00E40107" w:rsidP="00E40107">
            <w:pPr>
              <w:numPr>
                <w:ilvl w:val="0"/>
                <w:numId w:val="8"/>
              </w:numPr>
              <w:spacing w:before="120"/>
              <w:ind w:left="306" w:hanging="257"/>
              <w:contextualSpacing/>
              <w:rPr>
                <w:rFonts w:eastAsia="Calibri" w:cstheme="minorHAnsi"/>
                <w:szCs w:val="20"/>
              </w:rPr>
            </w:pPr>
            <w:bookmarkStart w:id="0" w:name="_Hlk169546364"/>
            <w:r w:rsidRPr="00794B31">
              <w:rPr>
                <w:rFonts w:eastAsia="Calibri" w:cstheme="minorHAnsi"/>
                <w:szCs w:val="20"/>
              </w:rPr>
              <w:t>Obchodné spoločnosti podnikajúce v zmysle Obchodného zákonníka</w:t>
            </w:r>
            <w:bookmarkEnd w:id="0"/>
            <w:r w:rsidRPr="00794B31">
              <w:rPr>
                <w:rFonts w:eastAsia="Calibri" w:cstheme="minorHAnsi"/>
                <w:szCs w:val="20"/>
              </w:rPr>
              <w:t>.</w:t>
            </w:r>
            <w:r w:rsidRPr="00553DAF">
              <w:rPr>
                <w:rFonts w:eastAsia="Calibri" w:cstheme="minorHAnsi"/>
                <w:szCs w:val="20"/>
                <w:vertAlign w:val="superscript"/>
              </w:rPr>
              <w:footnoteReference w:id="1"/>
            </w:r>
          </w:p>
        </w:tc>
      </w:tr>
      <w:tr w:rsidR="00E12B8E" w14:paraId="045F2F31" w14:textId="77777777" w:rsidTr="0050296E">
        <w:tc>
          <w:tcPr>
            <w:tcW w:w="3256" w:type="dxa"/>
          </w:tcPr>
          <w:p w14:paraId="31BEE946" w14:textId="77777777" w:rsidR="00E12B8E" w:rsidRPr="00D10F9E" w:rsidRDefault="00E12B8E" w:rsidP="00E12B8E">
            <w:r w:rsidRPr="00D10F9E">
              <w:t>Oprávnené územie:</w:t>
            </w:r>
          </w:p>
          <w:p w14:paraId="0407DDD8" w14:textId="77777777" w:rsidR="00E12B8E" w:rsidRPr="00D10F9E" w:rsidRDefault="00E12B8E" w:rsidP="00E12B8E"/>
        </w:tc>
        <w:tc>
          <w:tcPr>
            <w:tcW w:w="5811" w:type="dxa"/>
          </w:tcPr>
          <w:p w14:paraId="3CD64D45" w14:textId="77777777" w:rsidR="00E12B8E" w:rsidRPr="00E648CD" w:rsidRDefault="00E12B8E" w:rsidP="00E12B8E">
            <w:pPr>
              <w:spacing w:after="120"/>
              <w:rPr>
                <w:rFonts w:eastAsia="Times New Roman" w:cstheme="minorHAnsi"/>
                <w:highlight w:val="yellow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 xml:space="preserve">územie </w:t>
            </w:r>
            <w:r w:rsidRPr="00FA07B1">
              <w:rPr>
                <w:rFonts w:cstheme="minorHAnsi"/>
              </w:rPr>
              <w:t>Slovenskej republiky</w:t>
            </w:r>
            <w:r>
              <w:rPr>
                <w:rFonts w:cstheme="minorHAnsi"/>
              </w:rPr>
              <w:t xml:space="preserve"> (</w:t>
            </w:r>
            <w:r w:rsidRPr="006A1150">
              <w:rPr>
                <w:rFonts w:cstheme="minorHAnsi"/>
                <w:sz w:val="20"/>
                <w:szCs w:val="20"/>
              </w:rPr>
              <w:t>celý región NUTS I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12B8E" w14:paraId="7E870483" w14:textId="77777777" w:rsidTr="0050296E">
        <w:tc>
          <w:tcPr>
            <w:tcW w:w="3256" w:type="dxa"/>
          </w:tcPr>
          <w:p w14:paraId="52A221CC" w14:textId="77777777" w:rsidR="00E12B8E" w:rsidRPr="00D10F9E" w:rsidRDefault="00E12B8E" w:rsidP="00E12B8E">
            <w:r w:rsidRPr="00D10F9E">
              <w:t>Trvanie výzvy:</w:t>
            </w:r>
          </w:p>
          <w:p w14:paraId="30F77563" w14:textId="77777777" w:rsidR="00E12B8E" w:rsidRPr="00D10F9E" w:rsidRDefault="00E12B8E" w:rsidP="00E12B8E">
            <w:r w:rsidRPr="00D10F9E">
              <w:t>(dátum vyhlásenia/ukončenia)</w:t>
            </w:r>
          </w:p>
        </w:tc>
        <w:tc>
          <w:tcPr>
            <w:tcW w:w="5811" w:type="dxa"/>
          </w:tcPr>
          <w:p w14:paraId="205F2E7C" w14:textId="2B45F9B7" w:rsidR="00E12B8E" w:rsidRPr="00481AA4" w:rsidRDefault="002404FE" w:rsidP="00E40107">
            <w:pPr>
              <w:spacing w:after="120"/>
              <w:rPr>
                <w:rFonts w:eastAsia="Times New Roman" w:cstheme="minorHAnsi"/>
                <w:highlight w:val="yellow"/>
                <w:lang w:eastAsia="sk-SK"/>
              </w:rPr>
            </w:pPr>
            <w:r>
              <w:rPr>
                <w:rFonts w:cstheme="minorHAnsi"/>
              </w:rPr>
              <w:t>xx</w:t>
            </w:r>
            <w:bookmarkStart w:id="1" w:name="_GoBack"/>
            <w:bookmarkEnd w:id="1"/>
            <w:r>
              <w:rPr>
                <w:rFonts w:cstheme="minorHAnsi"/>
              </w:rPr>
              <w:t>.xx</w:t>
            </w:r>
            <w:r w:rsidR="00E40107" w:rsidRPr="002404FE">
              <w:rPr>
                <w:rFonts w:cstheme="minorHAnsi"/>
              </w:rPr>
              <w:t xml:space="preserve"> 2025</w:t>
            </w:r>
            <w:r w:rsidR="00E40107">
              <w:rPr>
                <w:rFonts w:cstheme="minorHAnsi"/>
              </w:rPr>
              <w:t xml:space="preserve"> /</w:t>
            </w:r>
            <w:r w:rsidR="00E12B8E" w:rsidRPr="00481AA4">
              <w:rPr>
                <w:rFonts w:cstheme="minorHAnsi"/>
              </w:rPr>
              <w:t xml:space="preserve"> otvorená (uzavretie výzvy do vyčerpania finančných prostriedkov alokovaných na výzvu, alebo z dôvodu nedostatočného dopytu zo strany potenciálnych žiadateľov)</w:t>
            </w:r>
          </w:p>
        </w:tc>
      </w:tr>
    </w:tbl>
    <w:p w14:paraId="1CC52202" w14:textId="77777777" w:rsidR="00DD5C80" w:rsidRDefault="00DD5C80" w:rsidP="00DD5C80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D5C80" w14:paraId="5DF9B42E" w14:textId="77777777" w:rsidTr="005708CE">
        <w:trPr>
          <w:trHeight w:val="406"/>
        </w:trPr>
        <w:tc>
          <w:tcPr>
            <w:tcW w:w="9062" w:type="dxa"/>
            <w:gridSpan w:val="2"/>
            <w:shd w:val="clear" w:color="auto" w:fill="0070C0"/>
          </w:tcPr>
          <w:p w14:paraId="51B6697D" w14:textId="77777777" w:rsidR="00DD5C80" w:rsidRPr="0050296E" w:rsidRDefault="001E3621" w:rsidP="005708CE">
            <w:pPr>
              <w:spacing w:after="120"/>
              <w:rPr>
                <w:rFonts w:cs="Arial"/>
                <w:b/>
                <w:color w:val="000000" w:themeColor="text1"/>
                <w:highlight w:val="yellow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 xml:space="preserve">Výzvy 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 xml:space="preserve">so synergickým </w:t>
            </w:r>
            <w:r w:rsidR="002744C9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>účinkom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v rámci</w:t>
            </w:r>
            <w:r w:rsidR="00DD5C80" w:rsidRPr="0050296E">
              <w:rPr>
                <w:rFonts w:cs="Arial"/>
                <w:b/>
                <w:color w:val="FFFFFF" w:themeColor="background1"/>
              </w:rPr>
              <w:t xml:space="preserve"> Programu Slovensko </w:t>
            </w:r>
          </w:p>
        </w:tc>
      </w:tr>
      <w:tr w:rsidR="00AC6CF2" w14:paraId="4EE187FB" w14:textId="77777777" w:rsidTr="0050296E">
        <w:trPr>
          <w:trHeight w:val="416"/>
        </w:trPr>
        <w:tc>
          <w:tcPr>
            <w:tcW w:w="9062" w:type="dxa"/>
            <w:gridSpan w:val="2"/>
            <w:shd w:val="clear" w:color="auto" w:fill="0070C0"/>
          </w:tcPr>
          <w:p w14:paraId="4F822566" w14:textId="77777777" w:rsidR="00AC6CF2" w:rsidRPr="0050296E" w:rsidRDefault="00AC6CF2" w:rsidP="005708CE">
            <w:pPr>
              <w:spacing w:after="120"/>
              <w:ind w:left="306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cké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/ komplement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árne výzvy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boli identifikované: 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2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cs="Arial"/>
                  <w:color w:val="FFFFFF" w:themeColor="background1"/>
                </w:rPr>
                <w:id w:val="1465927754"/>
                <w:placeholder>
                  <w:docPart w:val="DefaultPlaceholder_-1854013439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b/>
                </w:rPr>
              </w:sdtEndPr>
              <w:sdtContent>
                <w:r w:rsidR="008B3318">
                  <w:rPr>
                    <w:rFonts w:cs="Arial"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DD5C80" w14:paraId="12396BFD" w14:textId="77777777" w:rsidTr="0050296E">
        <w:tc>
          <w:tcPr>
            <w:tcW w:w="3256" w:type="dxa"/>
          </w:tcPr>
          <w:p w14:paraId="3D2A7E6D" w14:textId="77777777" w:rsidR="00DD5C80" w:rsidRDefault="00DD5C80" w:rsidP="00520084">
            <w:r>
              <w:t xml:space="preserve">Kód/názov výzvy: </w:t>
            </w:r>
          </w:p>
          <w:p w14:paraId="2240F810" w14:textId="77777777" w:rsidR="00DD5C80" w:rsidRDefault="00DD5C80" w:rsidP="00520084"/>
        </w:tc>
        <w:tc>
          <w:tcPr>
            <w:tcW w:w="5806" w:type="dxa"/>
          </w:tcPr>
          <w:p w14:paraId="317936D6" w14:textId="77777777" w:rsidR="00DD5C80" w:rsidRDefault="00DD5C80" w:rsidP="00520084"/>
        </w:tc>
      </w:tr>
      <w:tr w:rsidR="00F772A6" w14:paraId="6FD8936A" w14:textId="77777777" w:rsidTr="0050296E">
        <w:tc>
          <w:tcPr>
            <w:tcW w:w="3256" w:type="dxa"/>
          </w:tcPr>
          <w:p w14:paraId="3FF07DE3" w14:textId="77777777" w:rsidR="00F772A6" w:rsidRDefault="00F772A6" w:rsidP="00520084">
            <w:r w:rsidRPr="00F772A6">
              <w:t>Sprostredkovateľský orgán / Implementačný subjekt (SO / IS)</w:t>
            </w:r>
            <w:r w:rsidR="006A60D1">
              <w:t>:</w:t>
            </w:r>
          </w:p>
        </w:tc>
        <w:tc>
          <w:tcPr>
            <w:tcW w:w="5806" w:type="dxa"/>
          </w:tcPr>
          <w:p w14:paraId="081A310E" w14:textId="77777777" w:rsidR="00F772A6" w:rsidRDefault="00F772A6" w:rsidP="00520084"/>
        </w:tc>
      </w:tr>
      <w:tr w:rsidR="00DD5C80" w14:paraId="706DA100" w14:textId="77777777" w:rsidTr="0050296E">
        <w:tc>
          <w:tcPr>
            <w:tcW w:w="3256" w:type="dxa"/>
          </w:tcPr>
          <w:p w14:paraId="629C4596" w14:textId="77777777" w:rsidR="00DD5C80" w:rsidRDefault="00DD5C80" w:rsidP="00520084">
            <w:r w:rsidRPr="00831388">
              <w:t>Priorit</w:t>
            </w:r>
            <w:r>
              <w:t>a</w:t>
            </w:r>
            <w:r w:rsidRPr="00831388">
              <w:t>:</w:t>
            </w:r>
          </w:p>
          <w:p w14:paraId="202683E7" w14:textId="77777777" w:rsidR="00DD5C80" w:rsidRDefault="00DD5C80" w:rsidP="00520084"/>
        </w:tc>
        <w:tc>
          <w:tcPr>
            <w:tcW w:w="5806" w:type="dxa"/>
          </w:tcPr>
          <w:p w14:paraId="009F0ACA" w14:textId="77777777" w:rsidR="00DD5C80" w:rsidRDefault="00DD5C80" w:rsidP="00520084"/>
        </w:tc>
      </w:tr>
      <w:tr w:rsidR="00DD5C80" w14:paraId="627EEFBA" w14:textId="77777777" w:rsidTr="0050296E">
        <w:tc>
          <w:tcPr>
            <w:tcW w:w="3256" w:type="dxa"/>
          </w:tcPr>
          <w:p w14:paraId="38C670FE" w14:textId="77777777" w:rsidR="00DD5C80" w:rsidRDefault="00DD5C80" w:rsidP="00520084">
            <w:r w:rsidRPr="00831388">
              <w:t>Špecifický cieľ:</w:t>
            </w:r>
          </w:p>
          <w:p w14:paraId="2FE9862F" w14:textId="77777777" w:rsidR="00DD5C80" w:rsidRDefault="00DD5C80" w:rsidP="00520084"/>
        </w:tc>
        <w:tc>
          <w:tcPr>
            <w:tcW w:w="5806" w:type="dxa"/>
          </w:tcPr>
          <w:p w14:paraId="2CCD7E9C" w14:textId="77777777" w:rsidR="00DD5C80" w:rsidRDefault="00DD5C80" w:rsidP="00520084"/>
        </w:tc>
      </w:tr>
      <w:tr w:rsidR="00DD5C80" w14:paraId="705BFBFD" w14:textId="77777777" w:rsidTr="0050296E">
        <w:tc>
          <w:tcPr>
            <w:tcW w:w="3256" w:type="dxa"/>
          </w:tcPr>
          <w:p w14:paraId="3ABF903B" w14:textId="77777777" w:rsidR="00DD5C80" w:rsidRDefault="00DD5C80" w:rsidP="00520084">
            <w:r>
              <w:t>Opatrenie (ak relevantné)</w:t>
            </w:r>
            <w:r w:rsidR="00A555C7">
              <w:t>:</w:t>
            </w:r>
          </w:p>
          <w:p w14:paraId="620D0338" w14:textId="77777777" w:rsidR="00DD5C80" w:rsidRPr="00831388" w:rsidRDefault="00DD5C80"/>
        </w:tc>
        <w:tc>
          <w:tcPr>
            <w:tcW w:w="5806" w:type="dxa"/>
          </w:tcPr>
          <w:p w14:paraId="284168BE" w14:textId="77777777" w:rsidR="00DD5C80" w:rsidRDefault="00DD5C80" w:rsidP="00520084"/>
        </w:tc>
      </w:tr>
      <w:tr w:rsidR="00DD5C80" w14:paraId="1E276008" w14:textId="77777777" w:rsidTr="0050296E">
        <w:tc>
          <w:tcPr>
            <w:tcW w:w="3256" w:type="dxa"/>
          </w:tcPr>
          <w:p w14:paraId="13DF173E" w14:textId="77777777" w:rsidR="00DD5C80" w:rsidRDefault="00DD5C80" w:rsidP="00520084">
            <w:r>
              <w:t>Podporené aktivity:</w:t>
            </w:r>
          </w:p>
          <w:p w14:paraId="708B6296" w14:textId="77777777" w:rsidR="00DD5C80" w:rsidRPr="00831388" w:rsidRDefault="00DD5C80" w:rsidP="00520084"/>
        </w:tc>
        <w:tc>
          <w:tcPr>
            <w:tcW w:w="5806" w:type="dxa"/>
          </w:tcPr>
          <w:p w14:paraId="2E52161F" w14:textId="77777777" w:rsidR="00DD5C80" w:rsidRDefault="00DD5C80" w:rsidP="00520084"/>
        </w:tc>
      </w:tr>
      <w:tr w:rsidR="00DD5C80" w14:paraId="2E787661" w14:textId="77777777" w:rsidTr="0050296E">
        <w:tc>
          <w:tcPr>
            <w:tcW w:w="3256" w:type="dxa"/>
          </w:tcPr>
          <w:p w14:paraId="679BD24B" w14:textId="77777777" w:rsidR="00DD5C80" w:rsidRDefault="00DD5C80" w:rsidP="00520084">
            <w:r>
              <w:t>Oprávnení žiadatelia:</w:t>
            </w:r>
          </w:p>
          <w:p w14:paraId="5FDF7AB5" w14:textId="77777777"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14:paraId="1B736E70" w14:textId="77777777" w:rsidR="00DD5C80" w:rsidRDefault="00DD5C80" w:rsidP="00520084"/>
        </w:tc>
        <w:tc>
          <w:tcPr>
            <w:tcW w:w="5806" w:type="dxa"/>
          </w:tcPr>
          <w:p w14:paraId="36607BC1" w14:textId="77777777" w:rsidR="00DD5C80" w:rsidRDefault="00DD5C80" w:rsidP="00520084"/>
        </w:tc>
      </w:tr>
      <w:tr w:rsidR="00DD5C80" w14:paraId="7E29F1FC" w14:textId="77777777" w:rsidTr="0050296E">
        <w:tc>
          <w:tcPr>
            <w:tcW w:w="3256" w:type="dxa"/>
          </w:tcPr>
          <w:p w14:paraId="5E6223DB" w14:textId="77777777" w:rsidR="00DD5C80" w:rsidRDefault="00DD5C80" w:rsidP="00520084">
            <w:r>
              <w:t>Oprávnené územie:</w:t>
            </w:r>
          </w:p>
          <w:p w14:paraId="7606605F" w14:textId="77777777" w:rsidR="00DD5C80" w:rsidRDefault="00DD5C80" w:rsidP="00520084"/>
        </w:tc>
        <w:tc>
          <w:tcPr>
            <w:tcW w:w="5806" w:type="dxa"/>
          </w:tcPr>
          <w:p w14:paraId="6DAC1837" w14:textId="77777777" w:rsidR="00DD5C80" w:rsidRDefault="00DD5C80" w:rsidP="00520084"/>
        </w:tc>
      </w:tr>
      <w:tr w:rsidR="00DD5C80" w14:paraId="4666D180" w14:textId="77777777" w:rsidTr="0050296E">
        <w:tc>
          <w:tcPr>
            <w:tcW w:w="3256" w:type="dxa"/>
          </w:tcPr>
          <w:p w14:paraId="2A354211" w14:textId="77777777" w:rsidR="00DD5C80" w:rsidRDefault="00DD5C80" w:rsidP="00520084">
            <w:r>
              <w:t>Trvanie výzvy:</w:t>
            </w:r>
          </w:p>
          <w:p w14:paraId="583440D8" w14:textId="77777777" w:rsidR="00DD5C80" w:rsidRDefault="00DD5C80" w:rsidP="00520084">
            <w:r>
              <w:t>(dátum vyhlásenia/ukončenia)</w:t>
            </w:r>
          </w:p>
        </w:tc>
        <w:tc>
          <w:tcPr>
            <w:tcW w:w="5806" w:type="dxa"/>
          </w:tcPr>
          <w:p w14:paraId="67A880EC" w14:textId="77777777" w:rsidR="00DD5C80" w:rsidRDefault="00DD5C80" w:rsidP="00520084"/>
        </w:tc>
      </w:tr>
      <w:tr w:rsidR="00DD5C80" w14:paraId="67524840" w14:textId="77777777" w:rsidTr="0050296E">
        <w:tc>
          <w:tcPr>
            <w:tcW w:w="3256" w:type="dxa"/>
          </w:tcPr>
          <w:p w14:paraId="717FE753" w14:textId="77777777" w:rsidR="00DD5C80" w:rsidRDefault="00DD5C80" w:rsidP="00520084">
            <w:r>
              <w:t>Deliace línie</w:t>
            </w:r>
            <w:r w:rsidR="006A60D1">
              <w:t>:</w:t>
            </w:r>
            <w:r>
              <w:t xml:space="preserve"> </w:t>
            </w:r>
          </w:p>
          <w:p w14:paraId="52DA5476" w14:textId="77777777" w:rsidR="00DD5C80" w:rsidRDefault="00DD5C80" w:rsidP="00520084">
            <w:r>
              <w:lastRenderedPageBreak/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14:paraId="1CE70FB5" w14:textId="77777777" w:rsidR="00DD5C80" w:rsidRDefault="00DD5C80" w:rsidP="00520084"/>
        </w:tc>
      </w:tr>
      <w:tr w:rsidR="00DD5C80" w14:paraId="349818D4" w14:textId="77777777" w:rsidTr="0050296E">
        <w:tc>
          <w:tcPr>
            <w:tcW w:w="3256" w:type="dxa"/>
          </w:tcPr>
          <w:p w14:paraId="5AAAB39D" w14:textId="77777777" w:rsidR="00DD5C80" w:rsidRDefault="00DD5C80" w:rsidP="00520084">
            <w:proofErr w:type="spellStart"/>
            <w:r>
              <w:t>Link</w:t>
            </w:r>
            <w:proofErr w:type="spellEnd"/>
            <w:r>
              <w:t xml:space="preserve"> na vyhlásenú výzvu</w:t>
            </w:r>
            <w:r w:rsidR="006A60D1">
              <w:t>:</w:t>
            </w:r>
          </w:p>
          <w:p w14:paraId="61B96B3F" w14:textId="77777777" w:rsidR="00DD5C80" w:rsidRDefault="00DD5C80" w:rsidP="00520084"/>
        </w:tc>
        <w:tc>
          <w:tcPr>
            <w:tcW w:w="5806" w:type="dxa"/>
          </w:tcPr>
          <w:p w14:paraId="2154283B" w14:textId="77777777" w:rsidR="00DD5C80" w:rsidRDefault="00DD5C80" w:rsidP="00520084"/>
        </w:tc>
      </w:tr>
    </w:tbl>
    <w:p w14:paraId="49FD5C19" w14:textId="77777777" w:rsidR="00F528CE" w:rsidRDefault="00F528CE" w:rsidP="00F528C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28CE" w14:paraId="3283622C" w14:textId="77777777" w:rsidTr="0050296E">
        <w:trPr>
          <w:trHeight w:val="643"/>
        </w:trPr>
        <w:tc>
          <w:tcPr>
            <w:tcW w:w="9062" w:type="dxa"/>
            <w:gridSpan w:val="2"/>
            <w:shd w:val="clear" w:color="auto" w:fill="0070C0"/>
          </w:tcPr>
          <w:p w14:paraId="17C3182E" w14:textId="77777777" w:rsidR="00F528CE" w:rsidRPr="0050296E" w:rsidRDefault="001E3621" w:rsidP="0050296E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ýzvy so synergickým 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 Plánu obnovy a odolnosti</w:t>
            </w:r>
          </w:p>
        </w:tc>
      </w:tr>
      <w:tr w:rsidR="00AC6CF2" w14:paraId="16F53853" w14:textId="77777777" w:rsidTr="0050296E">
        <w:trPr>
          <w:trHeight w:val="411"/>
        </w:trPr>
        <w:tc>
          <w:tcPr>
            <w:tcW w:w="9062" w:type="dxa"/>
            <w:gridSpan w:val="2"/>
            <w:shd w:val="clear" w:color="auto" w:fill="0070C0"/>
          </w:tcPr>
          <w:p w14:paraId="7559F411" w14:textId="77777777" w:rsidR="001E3621" w:rsidRPr="0050296E" w:rsidRDefault="00AC6CF2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cké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/ komplement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á</w:t>
            </w:r>
            <w:r w:rsidRPr="0050296E">
              <w:rPr>
                <w:rFonts w:cs="Arial"/>
                <w:b/>
                <w:color w:val="FFFFFF" w:themeColor="background1"/>
              </w:rPr>
              <w:t>r</w:t>
            </w:r>
            <w:r w:rsidR="001E3621" w:rsidRPr="0050296E">
              <w:rPr>
                <w:rFonts w:cs="Arial"/>
                <w:b/>
                <w:color w:val="FFFFFF" w:themeColor="background1"/>
              </w:rPr>
              <w:t>ne výzvy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 boli identifikované: 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3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-1901597182"/>
                <w:placeholder>
                  <w:docPart w:val="1E617F938E1549B6B19E0ED21736B1CB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F528CE" w14:paraId="1B7D5235" w14:textId="77777777" w:rsidTr="0050296E">
        <w:tc>
          <w:tcPr>
            <w:tcW w:w="3256" w:type="dxa"/>
          </w:tcPr>
          <w:p w14:paraId="587E7D46" w14:textId="77777777" w:rsidR="00F528CE" w:rsidRDefault="00F528CE" w:rsidP="00520084">
            <w:r>
              <w:t xml:space="preserve">Kód/názov výzvy: </w:t>
            </w:r>
          </w:p>
          <w:p w14:paraId="0798DE52" w14:textId="77777777" w:rsidR="00F528CE" w:rsidRDefault="00F528CE" w:rsidP="00520084"/>
        </w:tc>
        <w:tc>
          <w:tcPr>
            <w:tcW w:w="5806" w:type="dxa"/>
          </w:tcPr>
          <w:p w14:paraId="0E9594E2" w14:textId="77777777" w:rsidR="00F528CE" w:rsidRDefault="00F528CE" w:rsidP="00520084"/>
        </w:tc>
      </w:tr>
      <w:tr w:rsidR="00F528CE" w14:paraId="314FDCEC" w14:textId="77777777" w:rsidTr="0050296E">
        <w:tc>
          <w:tcPr>
            <w:tcW w:w="3256" w:type="dxa"/>
          </w:tcPr>
          <w:p w14:paraId="31C78642" w14:textId="77777777" w:rsidR="00F528CE" w:rsidRDefault="00F528CE" w:rsidP="00520084">
            <w:r>
              <w:t>Vykonávateľ:</w:t>
            </w:r>
          </w:p>
          <w:p w14:paraId="4E7664FF" w14:textId="77777777" w:rsidR="00F528CE" w:rsidRDefault="00F528CE" w:rsidP="00520084"/>
        </w:tc>
        <w:tc>
          <w:tcPr>
            <w:tcW w:w="5806" w:type="dxa"/>
          </w:tcPr>
          <w:p w14:paraId="2F0D6E5E" w14:textId="77777777" w:rsidR="00F528CE" w:rsidRDefault="00F528CE" w:rsidP="00520084"/>
        </w:tc>
      </w:tr>
      <w:tr w:rsidR="00F528CE" w14:paraId="5C3211AC" w14:textId="77777777" w:rsidTr="0050296E">
        <w:tc>
          <w:tcPr>
            <w:tcW w:w="3256" w:type="dxa"/>
          </w:tcPr>
          <w:p w14:paraId="5FDB1C3B" w14:textId="77777777" w:rsidR="00F528CE" w:rsidRDefault="00F528CE" w:rsidP="00520084">
            <w:r>
              <w:t>Komponent</w:t>
            </w:r>
            <w:r w:rsidRPr="00831388">
              <w:t>:</w:t>
            </w:r>
          </w:p>
          <w:p w14:paraId="73D6DCBF" w14:textId="77777777" w:rsidR="00F528CE" w:rsidRDefault="00F528CE" w:rsidP="00520084"/>
        </w:tc>
        <w:tc>
          <w:tcPr>
            <w:tcW w:w="5806" w:type="dxa"/>
          </w:tcPr>
          <w:p w14:paraId="14DF7903" w14:textId="77777777" w:rsidR="00F528CE" w:rsidRDefault="00F528CE" w:rsidP="00520084"/>
        </w:tc>
      </w:tr>
      <w:tr w:rsidR="00F528CE" w14:paraId="76051A5E" w14:textId="77777777" w:rsidTr="0050296E">
        <w:tc>
          <w:tcPr>
            <w:tcW w:w="3256" w:type="dxa"/>
          </w:tcPr>
          <w:p w14:paraId="07DCEC6C" w14:textId="77777777" w:rsidR="00F528CE" w:rsidRDefault="00F528CE" w:rsidP="00520084">
            <w:r>
              <w:t>Reforma/investícia</w:t>
            </w:r>
            <w:r w:rsidRPr="00831388">
              <w:t>:</w:t>
            </w:r>
          </w:p>
          <w:p w14:paraId="4166A527" w14:textId="77777777" w:rsidR="00F528CE" w:rsidRDefault="00F528CE" w:rsidP="00520084"/>
        </w:tc>
        <w:tc>
          <w:tcPr>
            <w:tcW w:w="5806" w:type="dxa"/>
          </w:tcPr>
          <w:p w14:paraId="19DAB2AB" w14:textId="77777777" w:rsidR="00F528CE" w:rsidRDefault="00F528CE" w:rsidP="00520084"/>
        </w:tc>
      </w:tr>
      <w:tr w:rsidR="00F528CE" w14:paraId="21DFC916" w14:textId="77777777" w:rsidTr="0050296E">
        <w:tc>
          <w:tcPr>
            <w:tcW w:w="3256" w:type="dxa"/>
          </w:tcPr>
          <w:p w14:paraId="3CD17698" w14:textId="77777777" w:rsidR="00F528CE" w:rsidRDefault="00F528CE" w:rsidP="00520084">
            <w:r>
              <w:t>Podporené aktivity:</w:t>
            </w:r>
          </w:p>
          <w:p w14:paraId="4ABF752B" w14:textId="77777777" w:rsidR="00F528CE" w:rsidRPr="00831388" w:rsidRDefault="00F528CE" w:rsidP="00520084"/>
        </w:tc>
        <w:tc>
          <w:tcPr>
            <w:tcW w:w="5806" w:type="dxa"/>
          </w:tcPr>
          <w:p w14:paraId="2DFEC532" w14:textId="77777777" w:rsidR="00F528CE" w:rsidRDefault="00F528CE" w:rsidP="00520084"/>
        </w:tc>
      </w:tr>
      <w:tr w:rsidR="00F528CE" w14:paraId="4E4610C9" w14:textId="77777777" w:rsidTr="0050296E">
        <w:tc>
          <w:tcPr>
            <w:tcW w:w="3256" w:type="dxa"/>
          </w:tcPr>
          <w:p w14:paraId="21321421" w14:textId="77777777" w:rsidR="00F528CE" w:rsidRDefault="00F528CE" w:rsidP="00520084">
            <w:r>
              <w:t>Oprávnení žiadatelia:</w:t>
            </w:r>
          </w:p>
          <w:p w14:paraId="193B063D" w14:textId="77777777"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14:paraId="086B1A3F" w14:textId="77777777" w:rsidR="00F528CE" w:rsidRDefault="00F528CE" w:rsidP="00520084"/>
        </w:tc>
        <w:tc>
          <w:tcPr>
            <w:tcW w:w="5806" w:type="dxa"/>
          </w:tcPr>
          <w:p w14:paraId="0FDA8C53" w14:textId="77777777" w:rsidR="00F528CE" w:rsidRDefault="00F528CE" w:rsidP="00520084"/>
        </w:tc>
      </w:tr>
      <w:tr w:rsidR="00F528CE" w14:paraId="7BDA2F74" w14:textId="77777777" w:rsidTr="0050296E">
        <w:tc>
          <w:tcPr>
            <w:tcW w:w="3256" w:type="dxa"/>
          </w:tcPr>
          <w:p w14:paraId="70FED78B" w14:textId="77777777" w:rsidR="00F528CE" w:rsidRDefault="00F528CE" w:rsidP="00520084">
            <w:r>
              <w:t>Oprávnené územie:</w:t>
            </w:r>
          </w:p>
          <w:p w14:paraId="7B9FD83E" w14:textId="77777777" w:rsidR="00F528CE" w:rsidRDefault="00F528CE" w:rsidP="00520084"/>
        </w:tc>
        <w:tc>
          <w:tcPr>
            <w:tcW w:w="5806" w:type="dxa"/>
          </w:tcPr>
          <w:p w14:paraId="3E37C054" w14:textId="77777777" w:rsidR="00F528CE" w:rsidRDefault="00F528CE" w:rsidP="00520084"/>
        </w:tc>
      </w:tr>
      <w:tr w:rsidR="00F528CE" w14:paraId="54D00137" w14:textId="77777777" w:rsidTr="0050296E">
        <w:tc>
          <w:tcPr>
            <w:tcW w:w="3256" w:type="dxa"/>
          </w:tcPr>
          <w:p w14:paraId="7C5B6647" w14:textId="77777777" w:rsidR="00F528CE" w:rsidRDefault="00F528CE" w:rsidP="00520084">
            <w:r>
              <w:t>Trvanie výzvy:</w:t>
            </w:r>
          </w:p>
          <w:p w14:paraId="596FBCC9" w14:textId="77777777" w:rsidR="00F528CE" w:rsidRDefault="00F528CE" w:rsidP="0050296E">
            <w:r w:rsidRPr="00831388">
              <w:t>(dátum vyhlásenia/</w:t>
            </w:r>
            <w:r w:rsidR="004F1C5E">
              <w:t>ukončenia</w:t>
            </w:r>
            <w:r w:rsidRPr="00831388">
              <w:t>)</w:t>
            </w:r>
          </w:p>
        </w:tc>
        <w:tc>
          <w:tcPr>
            <w:tcW w:w="5806" w:type="dxa"/>
          </w:tcPr>
          <w:p w14:paraId="2EAA42C3" w14:textId="77777777" w:rsidR="00F528CE" w:rsidRDefault="00F528CE" w:rsidP="00520084"/>
        </w:tc>
      </w:tr>
      <w:tr w:rsidR="00F528CE" w14:paraId="59E7F35F" w14:textId="77777777" w:rsidTr="0050296E">
        <w:tc>
          <w:tcPr>
            <w:tcW w:w="3256" w:type="dxa"/>
          </w:tcPr>
          <w:p w14:paraId="4ACB74AB" w14:textId="77777777" w:rsidR="00F528CE" w:rsidRDefault="00F528CE" w:rsidP="00520084">
            <w:r>
              <w:t>Deliace línie</w:t>
            </w:r>
            <w:r w:rsidR="00A555C7">
              <w:t>:</w:t>
            </w:r>
            <w:r>
              <w:t xml:space="preserve"> </w:t>
            </w:r>
          </w:p>
          <w:p w14:paraId="7A47AE37" w14:textId="77777777" w:rsidR="00F528CE" w:rsidRDefault="00F528CE" w:rsidP="00520084">
            <w:r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14:paraId="2AF37BFA" w14:textId="77777777" w:rsidR="00F528CE" w:rsidRDefault="00F528CE" w:rsidP="00520084"/>
        </w:tc>
      </w:tr>
      <w:tr w:rsidR="00F528CE" w14:paraId="412F0E28" w14:textId="77777777" w:rsidTr="0050296E">
        <w:tc>
          <w:tcPr>
            <w:tcW w:w="3256" w:type="dxa"/>
          </w:tcPr>
          <w:p w14:paraId="32705D47" w14:textId="77777777" w:rsidR="00F528CE" w:rsidRDefault="00F528CE" w:rsidP="00520084">
            <w:proofErr w:type="spellStart"/>
            <w:r>
              <w:t>Link</w:t>
            </w:r>
            <w:proofErr w:type="spellEnd"/>
            <w:r>
              <w:t xml:space="preserve"> na vyhlásenú výzvu</w:t>
            </w:r>
            <w:r w:rsidR="00A555C7">
              <w:t>:</w:t>
            </w:r>
          </w:p>
          <w:p w14:paraId="1BB73780" w14:textId="77777777" w:rsidR="00F528CE" w:rsidRDefault="00F528CE" w:rsidP="00520084"/>
        </w:tc>
        <w:tc>
          <w:tcPr>
            <w:tcW w:w="5806" w:type="dxa"/>
          </w:tcPr>
          <w:p w14:paraId="5ED8E0A5" w14:textId="77777777" w:rsidR="00F528CE" w:rsidRDefault="00F528CE" w:rsidP="00520084"/>
        </w:tc>
      </w:tr>
    </w:tbl>
    <w:p w14:paraId="453EE3CE" w14:textId="77777777" w:rsidR="00F528CE" w:rsidRDefault="00F528CE" w:rsidP="00F528CE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FE11AE" w14:paraId="215285E2" w14:textId="77777777" w:rsidTr="0050296E">
        <w:trPr>
          <w:trHeight w:val="322"/>
        </w:trPr>
        <w:tc>
          <w:tcPr>
            <w:tcW w:w="9067" w:type="dxa"/>
            <w:gridSpan w:val="2"/>
            <w:shd w:val="clear" w:color="auto" w:fill="0070C0"/>
          </w:tcPr>
          <w:p w14:paraId="18B6366C" w14:textId="77777777" w:rsidR="00F528CE" w:rsidRPr="0050296E" w:rsidRDefault="001E3621" w:rsidP="0050296E">
            <w:pPr>
              <w:spacing w:after="120"/>
              <w:jc w:val="center"/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ýzvy EŠIF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v rámci PO 2014 – 2020</w:t>
            </w:r>
          </w:p>
        </w:tc>
      </w:tr>
      <w:tr w:rsidR="00FE11AE" w14:paraId="3766843B" w14:textId="77777777" w:rsidTr="0050296E">
        <w:tc>
          <w:tcPr>
            <w:tcW w:w="9067" w:type="dxa"/>
            <w:gridSpan w:val="2"/>
            <w:shd w:val="clear" w:color="auto" w:fill="0070C0"/>
          </w:tcPr>
          <w:p w14:paraId="75E6EEDD" w14:textId="77777777" w:rsidR="00AC6CF2" w:rsidRPr="0050296E" w:rsidRDefault="001E3621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4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412118928"/>
                <w:placeholder>
                  <w:docPart w:val="1531403120544C3C8D8E7495A8F413E6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FE11AE" w14:paraId="0F39A4D4" w14:textId="77777777" w:rsidTr="005708CE">
        <w:trPr>
          <w:trHeight w:val="514"/>
        </w:trPr>
        <w:tc>
          <w:tcPr>
            <w:tcW w:w="3256" w:type="dxa"/>
          </w:tcPr>
          <w:p w14:paraId="72EB8D4B" w14:textId="77777777" w:rsidR="00F528CE" w:rsidRDefault="00F528CE" w:rsidP="00520084">
            <w:r>
              <w:t xml:space="preserve">Kód/názov výzvy: </w:t>
            </w:r>
          </w:p>
          <w:p w14:paraId="5198697C" w14:textId="77777777" w:rsidR="00F528CE" w:rsidRDefault="006A1B84" w:rsidP="00520084">
            <w:proofErr w:type="spellStart"/>
            <w:r>
              <w:t>Link</w:t>
            </w:r>
            <w:proofErr w:type="spellEnd"/>
            <w:r>
              <w:t xml:space="preserve"> na vyhlásenú výzvu:</w:t>
            </w:r>
          </w:p>
        </w:tc>
        <w:tc>
          <w:tcPr>
            <w:tcW w:w="5811" w:type="dxa"/>
          </w:tcPr>
          <w:p w14:paraId="5F13A1F9" w14:textId="77777777" w:rsidR="00F528CE" w:rsidRDefault="00F528CE" w:rsidP="00520084"/>
        </w:tc>
      </w:tr>
    </w:tbl>
    <w:p w14:paraId="3175048D" w14:textId="77777777" w:rsidR="00F528CE" w:rsidRPr="00701FB0" w:rsidRDefault="00F528CE" w:rsidP="00F528CE">
      <w:pPr>
        <w:rPr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04EBC" w14:paraId="1579B4A5" w14:textId="77777777" w:rsidTr="007E626F">
        <w:tc>
          <w:tcPr>
            <w:tcW w:w="9062" w:type="dxa"/>
            <w:gridSpan w:val="2"/>
            <w:shd w:val="clear" w:color="auto" w:fill="0070C0"/>
          </w:tcPr>
          <w:p w14:paraId="713C5D27" w14:textId="77777777" w:rsidR="00E04EBC" w:rsidRPr="0050296E" w:rsidRDefault="001B1EBB" w:rsidP="00E04EBC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Vý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>zvy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> program</w:t>
            </w:r>
            <w:r w:rsidRPr="0050296E">
              <w:rPr>
                <w:rFonts w:cs="Arial"/>
                <w:b/>
                <w:color w:val="FFFFFF" w:themeColor="background1"/>
              </w:rPr>
              <w:t>u</w:t>
            </w:r>
            <w:r w:rsidR="00E04EBC" w:rsidRPr="0050296E">
              <w:rPr>
                <w:rFonts w:cs="Arial"/>
                <w:b/>
                <w:color w:val="FFFFFF" w:themeColor="background1"/>
              </w:rPr>
              <w:t xml:space="preserve"> INTERREG</w:t>
            </w:r>
          </w:p>
          <w:p w14:paraId="33CE8965" w14:textId="77777777" w:rsidR="00E04EBC" w:rsidRPr="0050296E" w:rsidRDefault="00E04EBC" w:rsidP="007E626F">
            <w:pPr>
              <w:jc w:val="center"/>
              <w:rPr>
                <w:rFonts w:cs="Arial"/>
                <w:b/>
                <w:color w:val="000000" w:themeColor="text1"/>
                <w:highlight w:val="yellow"/>
              </w:rPr>
            </w:pPr>
          </w:p>
        </w:tc>
      </w:tr>
      <w:tr w:rsidR="00AC6CF2" w14:paraId="0B77C377" w14:textId="77777777" w:rsidTr="00AE1087">
        <w:trPr>
          <w:trHeight w:val="286"/>
        </w:trPr>
        <w:tc>
          <w:tcPr>
            <w:tcW w:w="9062" w:type="dxa"/>
            <w:gridSpan w:val="2"/>
            <w:shd w:val="clear" w:color="auto" w:fill="0070C0"/>
          </w:tcPr>
          <w:p w14:paraId="7913E652" w14:textId="77777777" w:rsidR="00AC6CF2" w:rsidRPr="0050296E" w:rsidRDefault="001B1EBB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lastRenderedPageBreak/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5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138292257"/>
                <w:placeholder>
                  <w:docPart w:val="13AED0FC56724FDDAF62CA01265F6F78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E04EBC" w14:paraId="6EF8A429" w14:textId="77777777" w:rsidTr="0050296E">
        <w:tc>
          <w:tcPr>
            <w:tcW w:w="3256" w:type="dxa"/>
            <w:shd w:val="clear" w:color="auto" w:fill="auto"/>
          </w:tcPr>
          <w:p w14:paraId="0C926075" w14:textId="77777777" w:rsidR="00E04EBC" w:rsidRPr="00D10F9E" w:rsidRDefault="00E04EBC" w:rsidP="007E626F">
            <w:r w:rsidRPr="00D10F9E">
              <w:t xml:space="preserve">Kód/názov výzvy: </w:t>
            </w:r>
          </w:p>
          <w:p w14:paraId="668B3321" w14:textId="77777777" w:rsidR="00E04EBC" w:rsidRPr="00D10F9E" w:rsidRDefault="00E04EBC" w:rsidP="007E626F"/>
        </w:tc>
        <w:tc>
          <w:tcPr>
            <w:tcW w:w="5806" w:type="dxa"/>
          </w:tcPr>
          <w:p w14:paraId="053575E6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41DE0D60" w14:textId="77777777" w:rsidTr="0050296E">
        <w:tc>
          <w:tcPr>
            <w:tcW w:w="3256" w:type="dxa"/>
            <w:shd w:val="clear" w:color="auto" w:fill="auto"/>
          </w:tcPr>
          <w:p w14:paraId="53BEAE28" w14:textId="77777777" w:rsidR="00E04EBC" w:rsidRPr="00D10F9E" w:rsidRDefault="00E04EBC" w:rsidP="007E626F">
            <w:r w:rsidRPr="00D10F9E">
              <w:t>Priorita:</w:t>
            </w:r>
          </w:p>
          <w:p w14:paraId="552C18B6" w14:textId="77777777" w:rsidR="00E04EBC" w:rsidRPr="00D10F9E" w:rsidRDefault="00E04EBC" w:rsidP="007E626F"/>
        </w:tc>
        <w:tc>
          <w:tcPr>
            <w:tcW w:w="5806" w:type="dxa"/>
          </w:tcPr>
          <w:p w14:paraId="17BCD257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4D5B14B5" w14:textId="77777777" w:rsidTr="0050296E">
        <w:tc>
          <w:tcPr>
            <w:tcW w:w="3256" w:type="dxa"/>
            <w:shd w:val="clear" w:color="auto" w:fill="auto"/>
          </w:tcPr>
          <w:p w14:paraId="7EB3F76F" w14:textId="77777777" w:rsidR="00E04EBC" w:rsidRPr="00D10F9E" w:rsidRDefault="00E04EBC" w:rsidP="007E626F">
            <w:r w:rsidRPr="00D10F9E">
              <w:t>Špecifický cieľ:</w:t>
            </w:r>
          </w:p>
          <w:p w14:paraId="59285C2D" w14:textId="77777777" w:rsidR="00E04EBC" w:rsidRPr="00D10F9E" w:rsidRDefault="00E04EBC" w:rsidP="007E626F"/>
        </w:tc>
        <w:tc>
          <w:tcPr>
            <w:tcW w:w="5806" w:type="dxa"/>
          </w:tcPr>
          <w:p w14:paraId="7C65181D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78D59A8D" w14:textId="77777777" w:rsidTr="0050296E">
        <w:tc>
          <w:tcPr>
            <w:tcW w:w="3256" w:type="dxa"/>
            <w:shd w:val="clear" w:color="auto" w:fill="auto"/>
          </w:tcPr>
          <w:p w14:paraId="3A364D7A" w14:textId="77777777" w:rsidR="00E04EBC" w:rsidRPr="00D10F9E" w:rsidRDefault="00E04EBC" w:rsidP="007E626F">
            <w:r w:rsidRPr="00D10F9E">
              <w:t>Opatrenie (ak relevantné)</w:t>
            </w:r>
            <w:r w:rsidR="008D65C3">
              <w:t>:</w:t>
            </w:r>
          </w:p>
          <w:p w14:paraId="50472679" w14:textId="77777777" w:rsidR="00E04EBC" w:rsidRPr="00D10F9E" w:rsidRDefault="00E04EBC" w:rsidP="007E626F"/>
        </w:tc>
        <w:tc>
          <w:tcPr>
            <w:tcW w:w="5806" w:type="dxa"/>
          </w:tcPr>
          <w:p w14:paraId="549BD20A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18A6C078" w14:textId="77777777" w:rsidTr="0050296E">
        <w:tc>
          <w:tcPr>
            <w:tcW w:w="3256" w:type="dxa"/>
            <w:shd w:val="clear" w:color="auto" w:fill="auto"/>
          </w:tcPr>
          <w:p w14:paraId="35971A05" w14:textId="77777777" w:rsidR="00E04EBC" w:rsidRPr="00D10F9E" w:rsidRDefault="00E04EBC" w:rsidP="007E626F">
            <w:r w:rsidRPr="00D10F9E">
              <w:t>Podporené aktivity:</w:t>
            </w:r>
          </w:p>
          <w:p w14:paraId="00CE02F8" w14:textId="77777777" w:rsidR="00E04EBC" w:rsidRPr="00D10F9E" w:rsidRDefault="00E04EBC" w:rsidP="007E626F"/>
        </w:tc>
        <w:tc>
          <w:tcPr>
            <w:tcW w:w="5806" w:type="dxa"/>
          </w:tcPr>
          <w:p w14:paraId="7A548CB4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3CB8054D" w14:textId="77777777" w:rsidTr="0050296E">
        <w:tc>
          <w:tcPr>
            <w:tcW w:w="3256" w:type="dxa"/>
            <w:shd w:val="clear" w:color="auto" w:fill="auto"/>
          </w:tcPr>
          <w:p w14:paraId="503269F9" w14:textId="77777777" w:rsidR="00E04EBC" w:rsidRDefault="00E04EBC" w:rsidP="007E626F">
            <w:r w:rsidRPr="00D10F9E">
              <w:t>Oprávnení žiadatelia:</w:t>
            </w:r>
          </w:p>
          <w:p w14:paraId="39186001" w14:textId="77777777"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14:paraId="7727EB70" w14:textId="77777777" w:rsidR="00E04EBC" w:rsidRPr="00D10F9E" w:rsidRDefault="00E04EBC" w:rsidP="007E626F"/>
        </w:tc>
        <w:tc>
          <w:tcPr>
            <w:tcW w:w="5806" w:type="dxa"/>
          </w:tcPr>
          <w:p w14:paraId="5180292A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3E11A45D" w14:textId="77777777" w:rsidTr="0050296E">
        <w:tc>
          <w:tcPr>
            <w:tcW w:w="3256" w:type="dxa"/>
            <w:shd w:val="clear" w:color="auto" w:fill="auto"/>
          </w:tcPr>
          <w:p w14:paraId="7AB03B07" w14:textId="77777777" w:rsidR="00E04EBC" w:rsidRPr="00D10F9E" w:rsidRDefault="00E04EBC" w:rsidP="007E626F">
            <w:r w:rsidRPr="00D10F9E">
              <w:t>Oprávnené územie:</w:t>
            </w:r>
          </w:p>
          <w:p w14:paraId="55D57680" w14:textId="77777777" w:rsidR="00E04EBC" w:rsidRPr="00D10F9E" w:rsidRDefault="00E04EBC" w:rsidP="007E626F"/>
        </w:tc>
        <w:tc>
          <w:tcPr>
            <w:tcW w:w="5806" w:type="dxa"/>
          </w:tcPr>
          <w:p w14:paraId="792FE92F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212C05FF" w14:textId="77777777" w:rsidTr="0050296E">
        <w:tc>
          <w:tcPr>
            <w:tcW w:w="3256" w:type="dxa"/>
            <w:shd w:val="clear" w:color="auto" w:fill="auto"/>
          </w:tcPr>
          <w:p w14:paraId="45DB5A07" w14:textId="77777777" w:rsidR="00E04EBC" w:rsidRPr="00D10F9E" w:rsidRDefault="00E04EBC" w:rsidP="007E626F">
            <w:r w:rsidRPr="00D10F9E">
              <w:t>Trvanie výzvy:</w:t>
            </w:r>
          </w:p>
          <w:p w14:paraId="0B199B02" w14:textId="77777777" w:rsidR="00E04EBC" w:rsidRPr="00D10F9E" w:rsidRDefault="00E04EBC" w:rsidP="007E626F">
            <w:r w:rsidRPr="00D10F9E">
              <w:t>(dátum vyhlásenia/ukončenia)</w:t>
            </w:r>
          </w:p>
        </w:tc>
        <w:tc>
          <w:tcPr>
            <w:tcW w:w="5806" w:type="dxa"/>
          </w:tcPr>
          <w:p w14:paraId="705C54BF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23E2CF39" w14:textId="77777777" w:rsidTr="0050296E">
        <w:tc>
          <w:tcPr>
            <w:tcW w:w="3256" w:type="dxa"/>
            <w:shd w:val="clear" w:color="auto" w:fill="auto"/>
          </w:tcPr>
          <w:p w14:paraId="30EEBC9D" w14:textId="77777777" w:rsidR="00E04EBC" w:rsidRPr="00D10F9E" w:rsidRDefault="00E04EBC" w:rsidP="007E626F">
            <w:r w:rsidRPr="00D10F9E">
              <w:t>Deliace línie</w:t>
            </w:r>
            <w:r w:rsidR="008D65C3">
              <w:t>:</w:t>
            </w:r>
            <w:r w:rsidRPr="00D10F9E">
              <w:t xml:space="preserve"> </w:t>
            </w:r>
          </w:p>
          <w:p w14:paraId="51C6969F" w14:textId="77777777" w:rsidR="00E04EBC" w:rsidRPr="00D10F9E" w:rsidRDefault="00E04EBC" w:rsidP="007E626F">
            <w:r w:rsidRPr="00D10F9E"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14:paraId="4A8D2575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  <w:tr w:rsidR="00E04EBC" w14:paraId="19FCFC40" w14:textId="77777777" w:rsidTr="0050296E">
        <w:tc>
          <w:tcPr>
            <w:tcW w:w="3256" w:type="dxa"/>
            <w:shd w:val="clear" w:color="auto" w:fill="auto"/>
          </w:tcPr>
          <w:p w14:paraId="4F348FC1" w14:textId="77777777" w:rsidR="00E04EBC" w:rsidRPr="00D10F9E" w:rsidRDefault="00E04EBC" w:rsidP="007E626F">
            <w:proofErr w:type="spellStart"/>
            <w:r w:rsidRPr="00D10F9E">
              <w:t>Link</w:t>
            </w:r>
            <w:proofErr w:type="spellEnd"/>
            <w:r w:rsidRPr="00D10F9E">
              <w:t xml:space="preserve"> na vyhlásenú výzvu</w:t>
            </w:r>
          </w:p>
          <w:p w14:paraId="2E7BB4FC" w14:textId="77777777" w:rsidR="00E04EBC" w:rsidRPr="00D10F9E" w:rsidRDefault="00E04EBC" w:rsidP="007E626F"/>
        </w:tc>
        <w:tc>
          <w:tcPr>
            <w:tcW w:w="5806" w:type="dxa"/>
          </w:tcPr>
          <w:p w14:paraId="5ADAE12A" w14:textId="77777777" w:rsidR="00E04EBC" w:rsidRPr="006A7216" w:rsidRDefault="00E04EBC" w:rsidP="007E626F">
            <w:pPr>
              <w:rPr>
                <w:highlight w:val="yellow"/>
              </w:rPr>
            </w:pPr>
          </w:p>
        </w:tc>
      </w:tr>
    </w:tbl>
    <w:p w14:paraId="1965DD9F" w14:textId="77777777" w:rsidR="00E04EBC" w:rsidRDefault="00E04EBC" w:rsidP="00E04EB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04EBC" w14:paraId="47A68FF6" w14:textId="77777777" w:rsidTr="007E626F">
        <w:tc>
          <w:tcPr>
            <w:tcW w:w="9062" w:type="dxa"/>
            <w:gridSpan w:val="2"/>
            <w:shd w:val="clear" w:color="auto" w:fill="0070C0"/>
          </w:tcPr>
          <w:p w14:paraId="73F3E357" w14:textId="77777777" w:rsidR="00E04EBC" w:rsidRPr="0050296E" w:rsidRDefault="001B1EBB" w:rsidP="006A7216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ýzvy so synergickým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 / komplementárnym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 xml:space="preserve"> účinkom </w:t>
            </w:r>
            <w:r w:rsidRPr="0050296E">
              <w:rPr>
                <w:rFonts w:cs="Arial"/>
                <w:b/>
                <w:color w:val="FFFFFF" w:themeColor="background1"/>
              </w:rPr>
              <w:t>identifikované v rámci</w:t>
            </w:r>
            <w:r w:rsidR="006A7216" w:rsidRPr="0050296E">
              <w:rPr>
                <w:rFonts w:cs="Arial"/>
                <w:b/>
                <w:color w:val="FFFFFF" w:themeColor="background1"/>
              </w:rPr>
              <w:t> </w:t>
            </w:r>
            <w:r w:rsidR="00B75F05" w:rsidRPr="0050296E">
              <w:rPr>
                <w:rFonts w:cs="Arial"/>
                <w:b/>
                <w:color w:val="FFFFFF" w:themeColor="background1"/>
              </w:rPr>
              <w:t xml:space="preserve">ďalších </w:t>
            </w:r>
            <w:r w:rsidR="008D65C3" w:rsidRPr="0050296E">
              <w:rPr>
                <w:rFonts w:cs="Arial"/>
                <w:b/>
                <w:color w:val="FFFFFF" w:themeColor="background1"/>
              </w:rPr>
              <w:t>fondov EÚ</w:t>
            </w:r>
            <w:r w:rsidR="006A7216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6"/>
            </w:r>
          </w:p>
          <w:p w14:paraId="6E6584DA" w14:textId="77777777" w:rsidR="006A7216" w:rsidRPr="00AE1087" w:rsidRDefault="006A7216" w:rsidP="006A721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AC6CF2" w14:paraId="58E5E8B6" w14:textId="77777777" w:rsidTr="00AE1087">
        <w:trPr>
          <w:trHeight w:val="464"/>
        </w:trPr>
        <w:tc>
          <w:tcPr>
            <w:tcW w:w="9062" w:type="dxa"/>
            <w:gridSpan w:val="2"/>
            <w:shd w:val="clear" w:color="auto" w:fill="0070C0"/>
          </w:tcPr>
          <w:p w14:paraId="5BEDB871" w14:textId="66ED523B" w:rsidR="001B1EBB" w:rsidRPr="0050296E" w:rsidRDefault="001B1EBB" w:rsidP="001B1EB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t>Synergické / komplementárne výzvy boli identifikované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7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: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-1467581789"/>
                <w:placeholder>
                  <w:docPart w:val="A5CD6ADCC938448E8CA309094D194AA4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4001F">
                  <w:rPr>
                    <w:rFonts w:cs="Arial"/>
                    <w:b/>
                    <w:color w:val="FFFFFF" w:themeColor="background1"/>
                  </w:rPr>
                  <w:t>Áno</w:t>
                </w:r>
              </w:sdtContent>
            </w:sdt>
          </w:p>
          <w:p w14:paraId="49C9AC5B" w14:textId="77777777" w:rsidR="00AC6CF2" w:rsidRPr="00AE1087" w:rsidRDefault="00AC6CF2" w:rsidP="001B1EBB">
            <w:pPr>
              <w:jc w:val="center"/>
              <w:rPr>
                <w:sz w:val="16"/>
                <w:szCs w:val="16"/>
              </w:rPr>
            </w:pPr>
          </w:p>
        </w:tc>
      </w:tr>
      <w:tr w:rsidR="00B75F05" w14:paraId="434354C5" w14:textId="77777777" w:rsidTr="0050296E">
        <w:tc>
          <w:tcPr>
            <w:tcW w:w="3256" w:type="dxa"/>
          </w:tcPr>
          <w:p w14:paraId="071D7D2A" w14:textId="77777777" w:rsidR="00B75F05" w:rsidRDefault="00B75F05" w:rsidP="007E626F">
            <w:r>
              <w:t xml:space="preserve">Názov </w:t>
            </w:r>
            <w:r w:rsidR="000D09B0">
              <w:t>fondu</w:t>
            </w:r>
            <w:r w:rsidR="00B65F30">
              <w:t xml:space="preserve"> EÚ</w:t>
            </w:r>
            <w:r>
              <w:t>:</w:t>
            </w:r>
          </w:p>
          <w:p w14:paraId="11576F14" w14:textId="77777777" w:rsidR="00B75F05" w:rsidRPr="00D10F9E" w:rsidRDefault="00B75F05" w:rsidP="007E626F"/>
        </w:tc>
        <w:tc>
          <w:tcPr>
            <w:tcW w:w="5806" w:type="dxa"/>
          </w:tcPr>
          <w:p w14:paraId="624D1C4B" w14:textId="3D497F4A" w:rsidR="00B75F05" w:rsidRPr="00212F8E" w:rsidRDefault="00AD609E" w:rsidP="007E626F">
            <w:pPr>
              <w:rPr>
                <w:highlight w:val="yellow"/>
              </w:rPr>
            </w:pPr>
            <w:r w:rsidRPr="00AD609E">
              <w:t>Program rybné hospodárstvo Slovenskej republiky 2021 – 2027</w:t>
            </w:r>
          </w:p>
        </w:tc>
      </w:tr>
      <w:tr w:rsidR="00E04EBC" w14:paraId="344278BE" w14:textId="77777777" w:rsidTr="0050296E">
        <w:tc>
          <w:tcPr>
            <w:tcW w:w="3256" w:type="dxa"/>
          </w:tcPr>
          <w:p w14:paraId="0917D626" w14:textId="77777777" w:rsidR="00E04EBC" w:rsidRPr="00D10F9E" w:rsidRDefault="00E04EBC" w:rsidP="007E626F">
            <w:r w:rsidRPr="00D10F9E">
              <w:t xml:space="preserve">Kód/názov výzvy: </w:t>
            </w:r>
          </w:p>
          <w:p w14:paraId="727F1557" w14:textId="77777777" w:rsidR="00E04EBC" w:rsidRPr="00D10F9E" w:rsidRDefault="00E04EBC" w:rsidP="007E626F"/>
        </w:tc>
        <w:tc>
          <w:tcPr>
            <w:tcW w:w="5806" w:type="dxa"/>
          </w:tcPr>
          <w:p w14:paraId="1D891F10" w14:textId="77777777" w:rsidR="00AD609E" w:rsidRDefault="00AD609E" w:rsidP="007E626F">
            <w:r w:rsidRPr="00AD609E">
              <w:t xml:space="preserve">PRH-MPRV-001-2024-DV-ENRAF </w:t>
            </w:r>
          </w:p>
          <w:p w14:paraId="1062AAE3" w14:textId="12D55777" w:rsidR="00E04EBC" w:rsidRPr="00212F8E" w:rsidRDefault="00AD609E" w:rsidP="007E626F">
            <w:pPr>
              <w:rPr>
                <w:highlight w:val="yellow"/>
              </w:rPr>
            </w:pPr>
            <w:r w:rsidRPr="00AD609E">
              <w:t>Podpora udržateľnej akvakultúry</w:t>
            </w:r>
          </w:p>
        </w:tc>
      </w:tr>
      <w:tr w:rsidR="00E04EBC" w14:paraId="6E3F3D6A" w14:textId="77777777" w:rsidTr="0050296E">
        <w:tc>
          <w:tcPr>
            <w:tcW w:w="3256" w:type="dxa"/>
          </w:tcPr>
          <w:p w14:paraId="751EE64A" w14:textId="77777777" w:rsidR="00E04EBC" w:rsidRPr="00D10F9E" w:rsidRDefault="00E04EBC" w:rsidP="007E626F">
            <w:r w:rsidRPr="00D10F9E">
              <w:t>Priorita:</w:t>
            </w:r>
          </w:p>
          <w:p w14:paraId="3D7599D9" w14:textId="77777777" w:rsidR="00E04EBC" w:rsidRPr="00D10F9E" w:rsidRDefault="00E04EBC" w:rsidP="007E626F"/>
        </w:tc>
        <w:tc>
          <w:tcPr>
            <w:tcW w:w="5806" w:type="dxa"/>
          </w:tcPr>
          <w:p w14:paraId="639BE223" w14:textId="552F2E5E" w:rsidR="00E04EBC" w:rsidRPr="00212F8E" w:rsidRDefault="00AD609E" w:rsidP="00AD609E">
            <w:pPr>
              <w:rPr>
                <w:highlight w:val="yellow"/>
              </w:rPr>
            </w:pPr>
            <w:r w:rsidRPr="006C4171">
              <w:rPr>
                <w:sz w:val="20"/>
              </w:rPr>
              <w:t>Priorita 2 Podpora udržateľných akvakultúrnych činností, spracovania a uvádzania produktov rybolovu a akvakultúry na trh, čím sa prispeje k potravinovej bezpečnosti v Únii</w:t>
            </w:r>
          </w:p>
        </w:tc>
      </w:tr>
      <w:tr w:rsidR="00E04EBC" w14:paraId="27641D07" w14:textId="77777777" w:rsidTr="0050296E">
        <w:tc>
          <w:tcPr>
            <w:tcW w:w="3256" w:type="dxa"/>
          </w:tcPr>
          <w:p w14:paraId="0B241082" w14:textId="77777777" w:rsidR="00E04EBC" w:rsidRPr="00D10F9E" w:rsidRDefault="00E04EBC" w:rsidP="007E626F">
            <w:r w:rsidRPr="00D10F9E">
              <w:t>Špecifický cieľ:</w:t>
            </w:r>
          </w:p>
          <w:p w14:paraId="019A0E97" w14:textId="77777777" w:rsidR="00E04EBC" w:rsidRPr="00D10F9E" w:rsidRDefault="00E04EBC" w:rsidP="007E626F"/>
        </w:tc>
        <w:tc>
          <w:tcPr>
            <w:tcW w:w="5806" w:type="dxa"/>
          </w:tcPr>
          <w:p w14:paraId="0E2E75A6" w14:textId="4927989C" w:rsidR="00E04EBC" w:rsidRPr="00212F8E" w:rsidRDefault="00AD609E" w:rsidP="007E626F">
            <w:pPr>
              <w:rPr>
                <w:highlight w:val="yellow"/>
              </w:rPr>
            </w:pPr>
            <w:r w:rsidRPr="006C4171">
              <w:rPr>
                <w:sz w:val="20"/>
              </w:rPr>
              <w:t>2.1 Podpora udržateľných akvakultúrnych činností, najmä posilnenie konkurencieschopnosti akvakultúrnej produkcie pri súčasnom zabezpečení dlhodobej environmentálnej udržateľnosti týchto činností</w:t>
            </w:r>
          </w:p>
        </w:tc>
      </w:tr>
      <w:tr w:rsidR="00E04EBC" w14:paraId="5DC5CFA1" w14:textId="77777777" w:rsidTr="0050296E">
        <w:tc>
          <w:tcPr>
            <w:tcW w:w="3256" w:type="dxa"/>
          </w:tcPr>
          <w:p w14:paraId="46BA4B9B" w14:textId="77777777" w:rsidR="00E04EBC" w:rsidRPr="00D10F9E" w:rsidRDefault="00E04EBC" w:rsidP="007E626F">
            <w:r w:rsidRPr="00D10F9E">
              <w:t>Opatrenie (ak relevantné)</w:t>
            </w:r>
          </w:p>
          <w:p w14:paraId="73F34206" w14:textId="77777777" w:rsidR="00E04EBC" w:rsidRPr="00D10F9E" w:rsidRDefault="00E04EBC" w:rsidP="007E626F"/>
        </w:tc>
        <w:tc>
          <w:tcPr>
            <w:tcW w:w="5806" w:type="dxa"/>
          </w:tcPr>
          <w:p w14:paraId="5638D810" w14:textId="6FFDF040" w:rsidR="00E04EBC" w:rsidRPr="00212F8E" w:rsidRDefault="00E04EBC" w:rsidP="007E626F">
            <w:pPr>
              <w:rPr>
                <w:highlight w:val="yellow"/>
              </w:rPr>
            </w:pPr>
          </w:p>
        </w:tc>
      </w:tr>
      <w:tr w:rsidR="00E04EBC" w14:paraId="7510A51D" w14:textId="77777777" w:rsidTr="0050296E">
        <w:tc>
          <w:tcPr>
            <w:tcW w:w="3256" w:type="dxa"/>
          </w:tcPr>
          <w:p w14:paraId="08BB29F6" w14:textId="77777777" w:rsidR="00E04EBC" w:rsidRPr="00D10F9E" w:rsidRDefault="00E04EBC" w:rsidP="007E626F">
            <w:r w:rsidRPr="00D10F9E">
              <w:lastRenderedPageBreak/>
              <w:t>Podporené aktivity:</w:t>
            </w:r>
          </w:p>
          <w:p w14:paraId="0F456703" w14:textId="77777777" w:rsidR="00E04EBC" w:rsidRPr="00D10F9E" w:rsidRDefault="00E04EBC" w:rsidP="007E626F"/>
        </w:tc>
        <w:tc>
          <w:tcPr>
            <w:tcW w:w="5806" w:type="dxa"/>
          </w:tcPr>
          <w:p w14:paraId="3ED61D55" w14:textId="77777777" w:rsidR="00AD609E" w:rsidRPr="00AD609E" w:rsidRDefault="00AD609E" w:rsidP="00A517AB">
            <w:pPr>
              <w:pStyle w:val="Odsekzoznamu"/>
              <w:numPr>
                <w:ilvl w:val="0"/>
                <w:numId w:val="1"/>
              </w:numPr>
              <w:ind w:left="463"/>
              <w:rPr>
                <w:iCs/>
                <w:sz w:val="20"/>
              </w:rPr>
            </w:pPr>
            <w:r w:rsidRPr="00AD609E">
              <w:rPr>
                <w:iCs/>
                <w:sz w:val="20"/>
              </w:rPr>
              <w:t xml:space="preserve">Podpora novovznikajúcich akvakultúrnych subjektov a budovanie nových akvakultúrnych zariadení </w:t>
            </w:r>
          </w:p>
          <w:p w14:paraId="6CC3DED9" w14:textId="77777777" w:rsidR="00AD609E" w:rsidRPr="00AD609E" w:rsidRDefault="00AD609E" w:rsidP="00A517AB">
            <w:pPr>
              <w:pStyle w:val="Odsekzoznamu"/>
              <w:numPr>
                <w:ilvl w:val="0"/>
                <w:numId w:val="1"/>
              </w:numPr>
              <w:ind w:left="463"/>
              <w:rPr>
                <w:iCs/>
                <w:sz w:val="20"/>
              </w:rPr>
            </w:pPr>
            <w:r w:rsidRPr="00AD609E">
              <w:rPr>
                <w:iCs/>
                <w:sz w:val="20"/>
              </w:rPr>
              <w:t>Modernizácia existujúcich akvakultúrnych zariadení</w:t>
            </w:r>
          </w:p>
          <w:p w14:paraId="748D8ABF" w14:textId="59446D6F" w:rsidR="00E04EBC" w:rsidRPr="00AD609E" w:rsidRDefault="00AD609E" w:rsidP="00A517AB">
            <w:pPr>
              <w:pStyle w:val="Odsekzoznamu"/>
              <w:numPr>
                <w:ilvl w:val="0"/>
                <w:numId w:val="1"/>
              </w:numPr>
              <w:ind w:left="463"/>
              <w:rPr>
                <w:iCs/>
                <w:sz w:val="20"/>
              </w:rPr>
            </w:pPr>
            <w:r w:rsidRPr="00AD609E">
              <w:rPr>
                <w:iCs/>
                <w:sz w:val="20"/>
              </w:rPr>
              <w:t>Zníženie energetickej náročnosti akvakultúrnych zariadení</w:t>
            </w:r>
          </w:p>
        </w:tc>
      </w:tr>
      <w:tr w:rsidR="00E04EBC" w14:paraId="09CDE8ED" w14:textId="77777777" w:rsidTr="0050296E">
        <w:tc>
          <w:tcPr>
            <w:tcW w:w="3256" w:type="dxa"/>
          </w:tcPr>
          <w:p w14:paraId="1A9B40C0" w14:textId="77777777" w:rsidR="00E04EBC" w:rsidRDefault="00E04EBC" w:rsidP="007E626F">
            <w:r w:rsidRPr="00D10F9E">
              <w:t>Oprávnení žiadatelia:</w:t>
            </w:r>
          </w:p>
          <w:p w14:paraId="510FB8ED" w14:textId="77777777" w:rsidR="006A1B84" w:rsidRPr="000D2B2F" w:rsidRDefault="006A1B84" w:rsidP="006A1B84">
            <w:r w:rsidRPr="000D2B2F">
              <w:t xml:space="preserve">(ak relevantné, uveďte aj </w:t>
            </w:r>
            <w:r>
              <w:t xml:space="preserve">oprávnených </w:t>
            </w:r>
            <w:r w:rsidRPr="000D2B2F">
              <w:t>partnerov)</w:t>
            </w:r>
          </w:p>
          <w:p w14:paraId="63363842" w14:textId="77777777" w:rsidR="00E04EBC" w:rsidRPr="00D10F9E" w:rsidRDefault="00E04EBC" w:rsidP="007E626F"/>
        </w:tc>
        <w:tc>
          <w:tcPr>
            <w:tcW w:w="5806" w:type="dxa"/>
          </w:tcPr>
          <w:p w14:paraId="0FCCC0B2" w14:textId="77777777" w:rsidR="00AD609E" w:rsidRPr="00AD609E" w:rsidRDefault="00AD609E" w:rsidP="00A517AB">
            <w:pPr>
              <w:pStyle w:val="Odsekzoznamu"/>
              <w:numPr>
                <w:ilvl w:val="0"/>
                <w:numId w:val="9"/>
              </w:numPr>
              <w:tabs>
                <w:tab w:val="left" w:pos="1695"/>
              </w:tabs>
              <w:ind w:left="306" w:hanging="257"/>
              <w:jc w:val="both"/>
              <w:rPr>
                <w:sz w:val="20"/>
                <w:szCs w:val="20"/>
              </w:rPr>
            </w:pPr>
            <w:r w:rsidRPr="00AD609E">
              <w:rPr>
                <w:sz w:val="20"/>
                <w:szCs w:val="20"/>
              </w:rPr>
              <w:t>Fyzické osoby (ďalej len „FO“) a právnické osoby (ďalej len „PO“)</w:t>
            </w:r>
            <w:r w:rsidRPr="00AD609E">
              <w:rPr>
                <w:spacing w:val="-2"/>
                <w:sz w:val="20"/>
                <w:szCs w:val="20"/>
              </w:rPr>
              <w:t xml:space="preserve"> </w:t>
            </w:r>
            <w:r w:rsidRPr="00AD609E">
              <w:rPr>
                <w:sz w:val="20"/>
                <w:szCs w:val="20"/>
              </w:rPr>
              <w:t>pôsobiace</w:t>
            </w:r>
            <w:r w:rsidRPr="00AD609E">
              <w:rPr>
                <w:spacing w:val="-2"/>
                <w:sz w:val="20"/>
                <w:szCs w:val="20"/>
              </w:rPr>
              <w:t xml:space="preserve"> </w:t>
            </w:r>
            <w:r w:rsidRPr="00AD609E">
              <w:rPr>
                <w:sz w:val="20"/>
                <w:szCs w:val="20"/>
              </w:rPr>
              <w:t>v</w:t>
            </w:r>
            <w:r w:rsidRPr="00AD609E">
              <w:rPr>
                <w:spacing w:val="-3"/>
                <w:sz w:val="20"/>
                <w:szCs w:val="20"/>
              </w:rPr>
              <w:t xml:space="preserve"> </w:t>
            </w:r>
            <w:r w:rsidRPr="00AD609E">
              <w:rPr>
                <w:sz w:val="20"/>
                <w:szCs w:val="20"/>
              </w:rPr>
              <w:t>oblasti</w:t>
            </w:r>
            <w:r w:rsidRPr="00AD609E">
              <w:rPr>
                <w:spacing w:val="-3"/>
                <w:sz w:val="20"/>
                <w:szCs w:val="20"/>
              </w:rPr>
              <w:t xml:space="preserve"> </w:t>
            </w:r>
            <w:r w:rsidRPr="00AD609E">
              <w:rPr>
                <w:sz w:val="20"/>
                <w:szCs w:val="20"/>
              </w:rPr>
              <w:t xml:space="preserve">akvakultúry (subjekty s podnikateľskou históriou v oblasti akvakultúry v čase predloženia </w:t>
            </w:r>
            <w:proofErr w:type="spellStart"/>
            <w:r w:rsidRPr="00AD609E">
              <w:rPr>
                <w:sz w:val="20"/>
                <w:szCs w:val="20"/>
              </w:rPr>
              <w:t>ŽoNFP</w:t>
            </w:r>
            <w:proofErr w:type="spellEnd"/>
            <w:r w:rsidRPr="00AD609E">
              <w:rPr>
                <w:sz w:val="20"/>
                <w:szCs w:val="20"/>
              </w:rPr>
              <w:t xml:space="preserve"> a subjekty vstupujúce do sektora akvakultúry, teda </w:t>
            </w:r>
            <w:r w:rsidRPr="00AD609E">
              <w:rPr>
                <w:sz w:val="20"/>
                <w:szCs w:val="20"/>
              </w:rPr>
              <w:br/>
              <w:t xml:space="preserve">bez podnikateľskej histórie v oblasti akvakultúry v čase predloženia </w:t>
            </w:r>
            <w:proofErr w:type="spellStart"/>
            <w:r w:rsidRPr="00AD609E">
              <w:rPr>
                <w:sz w:val="20"/>
                <w:szCs w:val="20"/>
              </w:rPr>
              <w:t>ŽoNFP</w:t>
            </w:r>
            <w:proofErr w:type="spellEnd"/>
            <w:r w:rsidRPr="00AD609E">
              <w:rPr>
                <w:sz w:val="20"/>
                <w:szCs w:val="20"/>
              </w:rPr>
              <w:t>), a to:</w:t>
            </w:r>
          </w:p>
          <w:p w14:paraId="3D0937D1" w14:textId="77777777" w:rsidR="00AD609E" w:rsidRPr="00AD609E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D609E">
              <w:rPr>
                <w:sz w:val="20"/>
                <w:szCs w:val="20"/>
              </w:rPr>
              <w:t>ústredné orgány štátnej správy a ostatné ústredné orgány štátnej správy</w:t>
            </w:r>
          </w:p>
          <w:p w14:paraId="25AF2DE3" w14:textId="77777777" w:rsidR="00AD609E" w:rsidRPr="00AD609E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609E">
              <w:rPr>
                <w:rFonts w:asciiTheme="minorHAnsi" w:hAnsiTheme="minorHAnsi"/>
                <w:sz w:val="20"/>
                <w:szCs w:val="20"/>
              </w:rPr>
              <w:t>príspevkové</w:t>
            </w:r>
            <w:r w:rsidRPr="00AD609E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AD609E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4C801297" w14:textId="77777777" w:rsidR="00AD609E" w:rsidRPr="00AD609E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609E">
              <w:rPr>
                <w:rFonts w:asciiTheme="minorHAnsi" w:hAnsiTheme="minorHAnsi"/>
                <w:sz w:val="20"/>
                <w:szCs w:val="20"/>
              </w:rPr>
              <w:t>rozpočtové</w:t>
            </w:r>
            <w:r w:rsidRPr="00AD609E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AD609E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6855FC60" w14:textId="77777777" w:rsidR="00AD609E" w:rsidRPr="00AD609E" w:rsidRDefault="00AD609E" w:rsidP="00A517AB">
            <w:pPr>
              <w:pStyle w:val="Odsekzoznamu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D609E">
              <w:rPr>
                <w:rFonts w:eastAsia="Calibri" w:cs="Calibri"/>
                <w:sz w:val="20"/>
                <w:szCs w:val="20"/>
              </w:rPr>
              <w:t>občianske združenia</w:t>
            </w:r>
          </w:p>
          <w:p w14:paraId="45BFE0B1" w14:textId="77777777" w:rsidR="00AD609E" w:rsidRPr="00AD609E" w:rsidRDefault="00AD609E" w:rsidP="00A517AB">
            <w:pPr>
              <w:pStyle w:val="Odsekzoznamu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D609E">
              <w:rPr>
                <w:rFonts w:eastAsia="Calibri" w:cs="Calibri"/>
                <w:sz w:val="20"/>
                <w:szCs w:val="20"/>
              </w:rPr>
              <w:t xml:space="preserve">štátne podniky </w:t>
            </w:r>
          </w:p>
          <w:p w14:paraId="6D1BBCC4" w14:textId="77777777" w:rsidR="00AD609E" w:rsidRPr="00AD609E" w:rsidRDefault="00AD609E" w:rsidP="00A517AB">
            <w:pPr>
              <w:pStyle w:val="Odsekzoznamu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D609E">
              <w:rPr>
                <w:rFonts w:eastAsia="Calibri" w:cs="Calibri"/>
                <w:sz w:val="20"/>
                <w:szCs w:val="20"/>
              </w:rPr>
              <w:t xml:space="preserve">verejnoprávne inštitúcie </w:t>
            </w:r>
          </w:p>
          <w:p w14:paraId="5C259C91" w14:textId="77777777" w:rsidR="00AD609E" w:rsidRPr="00AD609E" w:rsidRDefault="00AD609E" w:rsidP="00A517AB">
            <w:pPr>
              <w:pStyle w:val="Odsekzoznamu"/>
              <w:spacing w:before="60"/>
              <w:ind w:left="306"/>
              <w:jc w:val="both"/>
              <w:rPr>
                <w:sz w:val="20"/>
                <w:szCs w:val="20"/>
              </w:rPr>
            </w:pPr>
          </w:p>
          <w:p w14:paraId="29F46023" w14:textId="77777777" w:rsidR="00AD609E" w:rsidRPr="00AD609E" w:rsidRDefault="00AD609E" w:rsidP="00A517AB">
            <w:pPr>
              <w:pStyle w:val="Odsekzoznamu"/>
              <w:numPr>
                <w:ilvl w:val="0"/>
                <w:numId w:val="8"/>
              </w:numPr>
              <w:spacing w:before="120"/>
              <w:ind w:left="306" w:hanging="257"/>
              <w:jc w:val="both"/>
              <w:rPr>
                <w:sz w:val="20"/>
                <w:szCs w:val="20"/>
              </w:rPr>
            </w:pPr>
            <w:r w:rsidRPr="00AD609E">
              <w:rPr>
                <w:sz w:val="20"/>
                <w:szCs w:val="20"/>
              </w:rPr>
              <w:t xml:space="preserve">Ostatné subjekty mimo pravidiel štátnej pomoci a pomoci de </w:t>
            </w:r>
            <w:proofErr w:type="spellStart"/>
            <w:r w:rsidRPr="00AD609E">
              <w:rPr>
                <w:sz w:val="20"/>
                <w:szCs w:val="20"/>
              </w:rPr>
              <w:t>minimis</w:t>
            </w:r>
            <w:proofErr w:type="spellEnd"/>
            <w:r w:rsidRPr="00AD609E">
              <w:rPr>
                <w:sz w:val="20"/>
                <w:szCs w:val="20"/>
              </w:rPr>
              <w:t xml:space="preserve">: </w:t>
            </w:r>
          </w:p>
          <w:p w14:paraId="1F18E30D" w14:textId="77777777" w:rsidR="00AD609E" w:rsidRPr="00A517AB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517AB">
              <w:rPr>
                <w:sz w:val="20"/>
                <w:szCs w:val="20"/>
              </w:rPr>
              <w:t>ostatné subjekty verejnej správy a územnej samosprávy;</w:t>
            </w:r>
          </w:p>
          <w:p w14:paraId="18CB3661" w14:textId="77777777" w:rsidR="00AD609E" w:rsidRPr="00A517AB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517AB">
              <w:rPr>
                <w:sz w:val="20"/>
                <w:szCs w:val="20"/>
              </w:rPr>
              <w:t>mimovládne neziskové organizácie;</w:t>
            </w:r>
          </w:p>
          <w:p w14:paraId="46F1D3BF" w14:textId="77777777" w:rsidR="00AD609E" w:rsidRPr="00A517AB" w:rsidRDefault="00AD609E" w:rsidP="00A517AB">
            <w:pPr>
              <w:pStyle w:val="TableParagraph"/>
              <w:numPr>
                <w:ilvl w:val="0"/>
                <w:numId w:val="11"/>
              </w:numPr>
              <w:spacing w:before="60"/>
              <w:ind w:left="604" w:hanging="283"/>
              <w:jc w:val="both"/>
              <w:rPr>
                <w:sz w:val="20"/>
                <w:szCs w:val="20"/>
              </w:rPr>
            </w:pPr>
            <w:r w:rsidRPr="00A517AB">
              <w:rPr>
                <w:sz w:val="20"/>
                <w:szCs w:val="20"/>
              </w:rPr>
              <w:t>samostatne hospodáriaci roľníci (ďalej len  „SHR“)</w:t>
            </w:r>
          </w:p>
          <w:p w14:paraId="321925DA" w14:textId="159AB969" w:rsidR="00E04EBC" w:rsidRPr="00AD609E" w:rsidRDefault="00AD609E" w:rsidP="00A517AB">
            <w:pPr>
              <w:pStyle w:val="Odsekzoznamu"/>
              <w:numPr>
                <w:ilvl w:val="0"/>
                <w:numId w:val="8"/>
              </w:numPr>
              <w:spacing w:before="120"/>
              <w:ind w:left="306" w:hanging="257"/>
              <w:jc w:val="both"/>
              <w:rPr>
                <w:sz w:val="20"/>
                <w:szCs w:val="20"/>
              </w:rPr>
            </w:pPr>
            <w:r w:rsidRPr="00AD609E">
              <w:rPr>
                <w:sz w:val="20"/>
                <w:szCs w:val="20"/>
              </w:rPr>
              <w:t>Obchodné spoločnosti podnikajúce v zmysle Obchodného zákonníka.</w:t>
            </w:r>
          </w:p>
        </w:tc>
      </w:tr>
      <w:tr w:rsidR="00E04EBC" w14:paraId="1524918D" w14:textId="77777777" w:rsidTr="0050296E">
        <w:tc>
          <w:tcPr>
            <w:tcW w:w="3256" w:type="dxa"/>
          </w:tcPr>
          <w:p w14:paraId="3B6D7F93" w14:textId="77777777" w:rsidR="00E04EBC" w:rsidRPr="00D10F9E" w:rsidRDefault="00E04EBC" w:rsidP="007E626F">
            <w:r w:rsidRPr="00D10F9E">
              <w:t>Oprávnené územie:</w:t>
            </w:r>
          </w:p>
          <w:p w14:paraId="72C3FC12" w14:textId="77777777" w:rsidR="00E04EBC" w:rsidRPr="00D10F9E" w:rsidRDefault="00E04EBC" w:rsidP="007E626F"/>
        </w:tc>
        <w:tc>
          <w:tcPr>
            <w:tcW w:w="5806" w:type="dxa"/>
          </w:tcPr>
          <w:p w14:paraId="63AA3E4A" w14:textId="31EB8601" w:rsidR="00E04EBC" w:rsidRPr="00212F8E" w:rsidRDefault="00AD609E" w:rsidP="00A517AB">
            <w:pPr>
              <w:ind w:firstLine="179"/>
              <w:rPr>
                <w:highlight w:val="yellow"/>
              </w:rPr>
            </w:pPr>
            <w:r w:rsidRPr="00AD609E">
              <w:t>NUTS I</w:t>
            </w:r>
          </w:p>
        </w:tc>
      </w:tr>
      <w:tr w:rsidR="00E04EBC" w14:paraId="5F6AD8D5" w14:textId="77777777" w:rsidTr="0050296E">
        <w:tc>
          <w:tcPr>
            <w:tcW w:w="3256" w:type="dxa"/>
          </w:tcPr>
          <w:p w14:paraId="36F07A95" w14:textId="77777777" w:rsidR="00E04EBC" w:rsidRPr="00D10F9E" w:rsidRDefault="00E04EBC" w:rsidP="007E626F">
            <w:r w:rsidRPr="00D10F9E">
              <w:t>Trvanie výzvy:</w:t>
            </w:r>
          </w:p>
          <w:p w14:paraId="429B6DFC" w14:textId="77777777" w:rsidR="00E04EBC" w:rsidRPr="00D10F9E" w:rsidRDefault="00E04EBC" w:rsidP="007E626F">
            <w:r w:rsidRPr="00D10F9E">
              <w:t>(dátum vyhlásenia/ukončenia)</w:t>
            </w:r>
          </w:p>
        </w:tc>
        <w:tc>
          <w:tcPr>
            <w:tcW w:w="5806" w:type="dxa"/>
          </w:tcPr>
          <w:p w14:paraId="5FD73DCD" w14:textId="1FB3BB0D" w:rsidR="00E04EBC" w:rsidRPr="00212F8E" w:rsidRDefault="00A517AB" w:rsidP="00A517AB">
            <w:pPr>
              <w:rPr>
                <w:highlight w:val="yellow"/>
              </w:rPr>
            </w:pPr>
            <w:r w:rsidRPr="00A517AB">
              <w:t xml:space="preserve">20.12.2024 </w:t>
            </w:r>
            <w:r w:rsidR="005339EC">
              <w:t>/ otvorená</w:t>
            </w:r>
          </w:p>
        </w:tc>
      </w:tr>
      <w:tr w:rsidR="00E04EBC" w14:paraId="3D5FE265" w14:textId="77777777" w:rsidTr="0050296E">
        <w:tc>
          <w:tcPr>
            <w:tcW w:w="3256" w:type="dxa"/>
          </w:tcPr>
          <w:p w14:paraId="210D4AC8" w14:textId="77777777" w:rsidR="00E04EBC" w:rsidRPr="00D10F9E" w:rsidRDefault="00E04EBC" w:rsidP="007E626F">
            <w:r w:rsidRPr="00D10F9E">
              <w:t>Deliace línie</w:t>
            </w:r>
            <w:r w:rsidR="00B75F05">
              <w:t>:</w:t>
            </w:r>
            <w:r w:rsidRPr="00D10F9E">
              <w:t xml:space="preserve"> </w:t>
            </w:r>
          </w:p>
          <w:p w14:paraId="15FAA79C" w14:textId="77777777" w:rsidR="00E04EBC" w:rsidRPr="00D10F9E" w:rsidRDefault="00E04EBC" w:rsidP="007E626F">
            <w:r w:rsidRPr="00D10F9E">
              <w:t xml:space="preserve">(parameter, na základe ktorého je možné zaradiť aktivitu – jej finančné krytie) </w:t>
            </w:r>
          </w:p>
        </w:tc>
        <w:tc>
          <w:tcPr>
            <w:tcW w:w="5806" w:type="dxa"/>
          </w:tcPr>
          <w:p w14:paraId="1DBEA5AE" w14:textId="77777777" w:rsidR="0084001F" w:rsidRDefault="0084001F" w:rsidP="007E626F">
            <w:r w:rsidRPr="0084001F">
              <w:t xml:space="preserve">Výzva PRH-MPRV-001-2024-DV-ENRAF je zameraná na podporu novovznikajúcich akvakultúrnych subjektov a budovanie nových akvakultúrnych zariadení, modernizáciu existujúcich akvakultúrnych zariadení a zníženie energetickej náročnosti akvakultúrnych zariadení. </w:t>
            </w:r>
          </w:p>
          <w:p w14:paraId="4BFCD40D" w14:textId="7DA428D0" w:rsidR="00E04EBC" w:rsidRPr="00212F8E" w:rsidRDefault="0084001F" w:rsidP="007E626F">
            <w:pPr>
              <w:rPr>
                <w:highlight w:val="yellow"/>
              </w:rPr>
            </w:pPr>
            <w:r w:rsidRPr="0084001F">
              <w:t>Deliace línie s výzvou PRH-MPRV-002-2025-DV-ENRAF Podpora spracovania rýb sú na úrovni zamerania podpory a odlišných podporovaných aktivít.</w:t>
            </w:r>
          </w:p>
        </w:tc>
      </w:tr>
      <w:tr w:rsidR="00E04EBC" w14:paraId="4BFFBE15" w14:textId="77777777" w:rsidTr="0050296E">
        <w:tc>
          <w:tcPr>
            <w:tcW w:w="3256" w:type="dxa"/>
          </w:tcPr>
          <w:p w14:paraId="227D1735" w14:textId="77777777" w:rsidR="00E04EBC" w:rsidRPr="00D10F9E" w:rsidRDefault="00E04EBC" w:rsidP="007E626F">
            <w:proofErr w:type="spellStart"/>
            <w:r w:rsidRPr="00D10F9E">
              <w:t>Link</w:t>
            </w:r>
            <w:proofErr w:type="spellEnd"/>
            <w:r w:rsidRPr="00D10F9E">
              <w:t xml:space="preserve"> na vyhlásenú výzvu</w:t>
            </w:r>
            <w:r w:rsidR="00B75F05">
              <w:t>:</w:t>
            </w:r>
          </w:p>
          <w:p w14:paraId="33F00FEA" w14:textId="77777777" w:rsidR="00E04EBC" w:rsidRPr="00D10F9E" w:rsidRDefault="00E04EBC" w:rsidP="007E626F"/>
        </w:tc>
        <w:tc>
          <w:tcPr>
            <w:tcW w:w="5806" w:type="dxa"/>
          </w:tcPr>
          <w:p w14:paraId="1B9F5EAC" w14:textId="111B084C" w:rsidR="00E04EBC" w:rsidRPr="00AD609E" w:rsidRDefault="002404FE" w:rsidP="00A517AB">
            <w:pPr>
              <w:pStyle w:val="Odsekzoznamu"/>
              <w:spacing w:after="120"/>
              <w:ind w:left="179"/>
              <w:jc w:val="both"/>
              <w:rPr>
                <w:rFonts w:eastAsia="Times New Roman" w:cstheme="minorHAnsi"/>
                <w:lang w:eastAsia="sk-SK"/>
              </w:rPr>
            </w:pPr>
            <w:hyperlink r:id="rId8" w:history="1">
              <w:r w:rsidR="00AD609E" w:rsidRPr="001A19DD">
                <w:rPr>
                  <w:rStyle w:val="Hypertextovprepojenie"/>
                  <w:rFonts w:eastAsia="Times New Roman" w:cstheme="minorHAnsi"/>
                  <w:lang w:eastAsia="sk-SK"/>
                </w:rPr>
                <w:t>https://portal.itms21.sk/vyhlasena-vyzva/?id=3605</w:t>
              </w:r>
            </w:hyperlink>
          </w:p>
        </w:tc>
      </w:tr>
    </w:tbl>
    <w:p w14:paraId="2D2BFE0D" w14:textId="77777777" w:rsidR="00F528CE" w:rsidRDefault="00F528CE" w:rsidP="00F528C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28CE" w14:paraId="14BB7CEB" w14:textId="77777777" w:rsidTr="00520084">
        <w:tc>
          <w:tcPr>
            <w:tcW w:w="9062" w:type="dxa"/>
            <w:gridSpan w:val="2"/>
            <w:shd w:val="clear" w:color="auto" w:fill="0070C0"/>
          </w:tcPr>
          <w:p w14:paraId="0BBE0B13" w14:textId="77777777" w:rsidR="00F528CE" w:rsidRPr="0050296E" w:rsidRDefault="001B1EBB" w:rsidP="0050296E">
            <w:pPr>
              <w:spacing w:after="120"/>
              <w:jc w:val="center"/>
            </w:pPr>
            <w:r w:rsidRPr="0050296E">
              <w:rPr>
                <w:rFonts w:cs="Arial"/>
                <w:b/>
                <w:color w:val="FFFFFF" w:themeColor="background1"/>
              </w:rPr>
              <w:t>V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ýzvy so synergickým </w:t>
            </w:r>
            <w:r w:rsidR="00E73A8B" w:rsidRPr="0050296E">
              <w:rPr>
                <w:rFonts w:cs="Arial"/>
                <w:b/>
                <w:color w:val="FFFFFF" w:themeColor="background1"/>
              </w:rPr>
              <w:t xml:space="preserve">/ komplementárnym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 xml:space="preserve">účinkom </w:t>
            </w:r>
            <w:r w:rsidRPr="0050296E">
              <w:rPr>
                <w:rFonts w:cs="Arial"/>
                <w:b/>
                <w:color w:val="FFFFFF" w:themeColor="background1"/>
              </w:rPr>
              <w:t xml:space="preserve">identifikované v rámci </w:t>
            </w:r>
            <w:r w:rsidR="00F528CE" w:rsidRPr="0050296E">
              <w:rPr>
                <w:rFonts w:cs="Arial"/>
                <w:b/>
                <w:color w:val="FFFFFF" w:themeColor="background1"/>
              </w:rPr>
              <w:t>priamo riadených programov EÚ</w:t>
            </w:r>
            <w:r w:rsidR="00C031A5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8"/>
            </w:r>
          </w:p>
        </w:tc>
      </w:tr>
      <w:tr w:rsidR="00AC6CF2" w14:paraId="5244C423" w14:textId="77777777" w:rsidTr="0050296E">
        <w:trPr>
          <w:trHeight w:val="382"/>
        </w:trPr>
        <w:tc>
          <w:tcPr>
            <w:tcW w:w="9062" w:type="dxa"/>
            <w:gridSpan w:val="2"/>
            <w:shd w:val="clear" w:color="auto" w:fill="0070C0"/>
          </w:tcPr>
          <w:p w14:paraId="77B412DE" w14:textId="77777777" w:rsidR="00AC6CF2" w:rsidRPr="0050296E" w:rsidRDefault="001B1EBB" w:rsidP="0050296E">
            <w:pPr>
              <w:spacing w:after="120"/>
              <w:jc w:val="center"/>
              <w:rPr>
                <w:rFonts w:cs="Arial"/>
                <w:b/>
                <w:color w:val="FFFFFF" w:themeColor="background1"/>
              </w:rPr>
            </w:pPr>
            <w:r w:rsidRPr="0050296E">
              <w:rPr>
                <w:rFonts w:cs="Arial"/>
                <w:b/>
                <w:color w:val="FFFFFF" w:themeColor="background1"/>
              </w:rPr>
              <w:lastRenderedPageBreak/>
              <w:t>Synergické / komplementárne výzvy boli identifikované:</w:t>
            </w:r>
            <w:r w:rsidR="001859A4" w:rsidRPr="0050296E">
              <w:rPr>
                <w:rStyle w:val="Odkaznapoznmkupodiarou"/>
                <w:rFonts w:cs="Arial"/>
                <w:b/>
                <w:color w:val="FFFFFF" w:themeColor="background1"/>
              </w:rPr>
              <w:footnoteReference w:id="9"/>
            </w:r>
            <w:r w:rsidRPr="0050296E">
              <w:rPr>
                <w:rFonts w:cs="Arial"/>
                <w:b/>
                <w:color w:val="FFFFFF" w:themeColor="background1"/>
              </w:rPr>
              <w:t xml:space="preserve">  </w:t>
            </w:r>
            <w:sdt>
              <w:sdtPr>
                <w:rPr>
                  <w:rFonts w:cs="Arial"/>
                  <w:b/>
                  <w:color w:val="FFFFFF" w:themeColor="background1"/>
                </w:rPr>
                <w:id w:val="1336187560"/>
                <w:placeholder>
                  <w:docPart w:val="30ACF362FDCE4609BF1021A20F7D1E68"/>
                </w:placeholder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8B3318">
                  <w:rPr>
                    <w:rFonts w:cs="Arial"/>
                    <w:b/>
                    <w:color w:val="FFFFFF" w:themeColor="background1"/>
                  </w:rPr>
                  <w:t>Nie</w:t>
                </w:r>
              </w:sdtContent>
            </w:sdt>
          </w:p>
        </w:tc>
      </w:tr>
      <w:tr w:rsidR="004F33BE" w14:paraId="112CC8DE" w14:textId="77777777" w:rsidTr="005708CE">
        <w:trPr>
          <w:trHeight w:val="448"/>
        </w:trPr>
        <w:tc>
          <w:tcPr>
            <w:tcW w:w="3256" w:type="dxa"/>
          </w:tcPr>
          <w:p w14:paraId="3325455D" w14:textId="77777777" w:rsidR="004F33BE" w:rsidRDefault="004F33BE" w:rsidP="00520084">
            <w:r>
              <w:t>Názov programu:</w:t>
            </w:r>
          </w:p>
        </w:tc>
        <w:tc>
          <w:tcPr>
            <w:tcW w:w="5806" w:type="dxa"/>
          </w:tcPr>
          <w:p w14:paraId="37E2C1AD" w14:textId="77777777" w:rsidR="004F33BE" w:rsidRDefault="004F33BE" w:rsidP="00520084"/>
        </w:tc>
      </w:tr>
      <w:tr w:rsidR="00F528CE" w14:paraId="3EABB328" w14:textId="77777777" w:rsidTr="005708CE">
        <w:trPr>
          <w:trHeight w:val="448"/>
        </w:trPr>
        <w:tc>
          <w:tcPr>
            <w:tcW w:w="3256" w:type="dxa"/>
          </w:tcPr>
          <w:p w14:paraId="7E2296E8" w14:textId="77777777" w:rsidR="00F528CE" w:rsidRDefault="00F528CE" w:rsidP="00520084">
            <w:r>
              <w:t xml:space="preserve">Kód/názov výzvy: </w:t>
            </w:r>
          </w:p>
          <w:p w14:paraId="10042D35" w14:textId="77777777" w:rsidR="00F528CE" w:rsidRDefault="00F528CE" w:rsidP="0050296E"/>
        </w:tc>
        <w:tc>
          <w:tcPr>
            <w:tcW w:w="5806" w:type="dxa"/>
          </w:tcPr>
          <w:p w14:paraId="0B470587" w14:textId="77777777" w:rsidR="00F528CE" w:rsidRDefault="00F528CE" w:rsidP="00520084"/>
        </w:tc>
      </w:tr>
      <w:tr w:rsidR="005A06BC" w14:paraId="4A0F5D65" w14:textId="77777777" w:rsidTr="00FE11AE">
        <w:trPr>
          <w:trHeight w:val="448"/>
        </w:trPr>
        <w:tc>
          <w:tcPr>
            <w:tcW w:w="3256" w:type="dxa"/>
          </w:tcPr>
          <w:p w14:paraId="5C04D853" w14:textId="77777777" w:rsidR="005A06BC" w:rsidRDefault="005A06BC" w:rsidP="005A06BC">
            <w:proofErr w:type="spellStart"/>
            <w:r>
              <w:t>Link</w:t>
            </w:r>
            <w:proofErr w:type="spellEnd"/>
            <w:r>
              <w:t xml:space="preserve"> na vyhlásenú výzvu:</w:t>
            </w:r>
          </w:p>
          <w:p w14:paraId="40EBDD57" w14:textId="77777777" w:rsidR="005A06BC" w:rsidRDefault="005A06BC" w:rsidP="00520084"/>
        </w:tc>
        <w:tc>
          <w:tcPr>
            <w:tcW w:w="5806" w:type="dxa"/>
          </w:tcPr>
          <w:p w14:paraId="33972FBE" w14:textId="77777777" w:rsidR="005A06BC" w:rsidRDefault="005A06BC" w:rsidP="00520084"/>
        </w:tc>
      </w:tr>
    </w:tbl>
    <w:p w14:paraId="4A7ECF92" w14:textId="77777777" w:rsidR="009C26F7" w:rsidRDefault="009C26F7" w:rsidP="00F528CE"/>
    <w:sectPr w:rsidR="009C26F7" w:rsidSect="00AB1E03">
      <w:headerReference w:type="default" r:id="rId9"/>
      <w:footerReference w:type="default" r:id="rId10"/>
      <w:pgSz w:w="11906" w:h="16838"/>
      <w:pgMar w:top="22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4AC5" w14:textId="77777777" w:rsidR="00E56600" w:rsidRDefault="00E56600" w:rsidP="00C2380E">
      <w:pPr>
        <w:spacing w:after="0" w:line="240" w:lineRule="auto"/>
      </w:pPr>
      <w:r>
        <w:separator/>
      </w:r>
    </w:p>
  </w:endnote>
  <w:endnote w:type="continuationSeparator" w:id="0">
    <w:p w14:paraId="10D86B2F" w14:textId="77777777" w:rsidR="00E56600" w:rsidRDefault="00E56600" w:rsidP="00C2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569148"/>
      <w:docPartObj>
        <w:docPartGallery w:val="Page Numbers (Bottom of Page)"/>
        <w:docPartUnique/>
      </w:docPartObj>
    </w:sdtPr>
    <w:sdtEndPr/>
    <w:sdtContent>
      <w:p w14:paraId="4A730B00" w14:textId="057B6103" w:rsidR="003D2E97" w:rsidRDefault="004121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4FE">
          <w:rPr>
            <w:noProof/>
          </w:rPr>
          <w:t>6</w:t>
        </w:r>
        <w:r>
          <w:fldChar w:fldCharType="end"/>
        </w:r>
      </w:p>
    </w:sdtContent>
  </w:sdt>
  <w:p w14:paraId="3A79E427" w14:textId="77777777" w:rsidR="003D2E97" w:rsidRDefault="002404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0E60C" w14:textId="77777777" w:rsidR="00E56600" w:rsidRDefault="00E56600" w:rsidP="00C2380E">
      <w:pPr>
        <w:spacing w:after="0" w:line="240" w:lineRule="auto"/>
      </w:pPr>
      <w:r>
        <w:separator/>
      </w:r>
    </w:p>
  </w:footnote>
  <w:footnote w:type="continuationSeparator" w:id="0">
    <w:p w14:paraId="6283B76D" w14:textId="77777777" w:rsidR="00E56600" w:rsidRDefault="00E56600" w:rsidP="00C2380E">
      <w:pPr>
        <w:spacing w:after="0" w:line="240" w:lineRule="auto"/>
      </w:pPr>
      <w:r>
        <w:continuationSeparator/>
      </w:r>
    </w:p>
  </w:footnote>
  <w:footnote w:id="1">
    <w:p w14:paraId="1D133821" w14:textId="77777777" w:rsidR="00E40107" w:rsidRPr="004920BF" w:rsidRDefault="00E40107" w:rsidP="00E40107">
      <w:pPr>
        <w:pStyle w:val="Textpoznmkypodiarou"/>
        <w:ind w:left="142" w:hanging="142"/>
        <w:jc w:val="both"/>
        <w:rPr>
          <w:sz w:val="14"/>
          <w:szCs w:val="14"/>
        </w:rPr>
      </w:pPr>
      <w:r w:rsidRPr="00794B31">
        <w:rPr>
          <w:rStyle w:val="Odkaznapoznmkupodiarou"/>
          <w:rFonts w:cs="Calibri"/>
          <w:szCs w:val="16"/>
        </w:rPr>
        <w:footnoteRef/>
      </w:r>
      <w:r w:rsidRPr="00794B31">
        <w:rPr>
          <w:rStyle w:val="Odkaznapoznmkupodiarou"/>
          <w:rFonts w:cs="Calibri"/>
          <w:szCs w:val="16"/>
        </w:rPr>
        <w:t xml:space="preserve"> </w:t>
      </w:r>
      <w:r w:rsidRPr="004920BF">
        <w:rPr>
          <w:sz w:val="14"/>
          <w:szCs w:val="14"/>
        </w:rPr>
        <w:t>Obchodné spoločnosti podnikajúce v zmysle § 56 zákona č. 513/1991 Zb. Obchodný zákonník</w:t>
      </w:r>
    </w:p>
  </w:footnote>
  <w:footnote w:id="2">
    <w:p w14:paraId="055D00EA" w14:textId="77777777"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3">
    <w:p w14:paraId="5BF8C9F4" w14:textId="77777777"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4">
    <w:p w14:paraId="72687146" w14:textId="77777777"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5">
    <w:p w14:paraId="2BCE9041" w14:textId="77777777"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6">
    <w:p w14:paraId="2E80D0FA" w14:textId="77777777" w:rsidR="006A7216" w:rsidRPr="0050296E" w:rsidRDefault="006A7216" w:rsidP="00B75F05">
      <w:pPr>
        <w:pStyle w:val="Textpoznmkypodiarou"/>
        <w:ind w:left="142" w:hanging="142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Fond pre azyl, migráciu a</w:t>
      </w:r>
      <w:r w:rsidR="00B75F05" w:rsidRPr="0050296E">
        <w:rPr>
          <w:rFonts w:asciiTheme="minorHAnsi" w:hAnsiTheme="minorHAnsi" w:cstheme="minorHAnsi"/>
          <w:sz w:val="16"/>
          <w:szCs w:val="16"/>
        </w:rPr>
        <w:t> </w:t>
      </w:r>
      <w:r w:rsidRPr="0050296E">
        <w:rPr>
          <w:rFonts w:asciiTheme="minorHAnsi" w:hAnsiTheme="minorHAnsi" w:cstheme="minorHAnsi"/>
          <w:sz w:val="16"/>
          <w:szCs w:val="16"/>
        </w:rPr>
        <w:t>integráciu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(AMIF)</w:t>
      </w:r>
      <w:r w:rsidRPr="0050296E">
        <w:rPr>
          <w:rFonts w:asciiTheme="minorHAnsi" w:hAnsiTheme="minorHAnsi" w:cstheme="minorHAnsi"/>
          <w:sz w:val="16"/>
          <w:szCs w:val="16"/>
        </w:rPr>
        <w:t xml:space="preserve"> /  Fond pre vnútornú bezpečnosť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(ISF)</w:t>
      </w:r>
      <w:r w:rsidRPr="0050296E">
        <w:rPr>
          <w:rFonts w:asciiTheme="minorHAnsi" w:hAnsiTheme="minorHAnsi" w:cstheme="minorHAnsi"/>
          <w:sz w:val="16"/>
          <w:szCs w:val="16"/>
        </w:rPr>
        <w:t xml:space="preserve">  / Nástroj finančnej podpory na riadenie hraníc a vízovú politiku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(BMVI)</w:t>
      </w:r>
      <w:r w:rsidR="008D65C3">
        <w:rPr>
          <w:rFonts w:asciiTheme="minorHAnsi" w:hAnsiTheme="minorHAnsi" w:cstheme="minorHAnsi"/>
          <w:sz w:val="16"/>
          <w:szCs w:val="16"/>
        </w:rPr>
        <w:t xml:space="preserve"> /</w:t>
      </w:r>
      <w:r w:rsidR="00B75F05" w:rsidRPr="0050296E">
        <w:rPr>
          <w:rFonts w:asciiTheme="minorHAnsi" w:hAnsiTheme="minorHAnsi" w:cstheme="minorHAnsi"/>
          <w:sz w:val="16"/>
          <w:szCs w:val="16"/>
        </w:rPr>
        <w:t xml:space="preserve"> Program Rybné hospodárstvo (PRH), a</w:t>
      </w:r>
      <w:r w:rsidR="008D65C3">
        <w:rPr>
          <w:rFonts w:asciiTheme="minorHAnsi" w:hAnsiTheme="minorHAnsi" w:cstheme="minorHAnsi"/>
          <w:sz w:val="16"/>
          <w:szCs w:val="16"/>
        </w:rPr>
        <w:t> </w:t>
      </w:r>
      <w:r w:rsidR="00B75F05" w:rsidRPr="0050296E">
        <w:rPr>
          <w:rFonts w:asciiTheme="minorHAnsi" w:hAnsiTheme="minorHAnsi" w:cstheme="minorHAnsi"/>
          <w:sz w:val="16"/>
          <w:szCs w:val="16"/>
        </w:rPr>
        <w:t>ďalšie</w:t>
      </w:r>
      <w:r w:rsidR="008D65C3">
        <w:rPr>
          <w:rFonts w:asciiTheme="minorHAnsi" w:hAnsiTheme="minorHAnsi" w:cstheme="minorHAnsi"/>
          <w:sz w:val="16"/>
          <w:szCs w:val="16"/>
        </w:rPr>
        <w:t xml:space="preserve"> v rámci ktorých sú výzvy vyhlasované v SR</w:t>
      </w:r>
      <w:r w:rsidRPr="0050296E">
        <w:rPr>
          <w:rFonts w:asciiTheme="minorHAnsi" w:hAnsiTheme="minorHAnsi" w:cstheme="minorHAnsi"/>
        </w:rPr>
        <w:t xml:space="preserve">  </w:t>
      </w:r>
    </w:p>
  </w:footnote>
  <w:footnote w:id="7">
    <w:p w14:paraId="1EDDC59D" w14:textId="77777777" w:rsidR="001859A4" w:rsidRPr="0050296E" w:rsidRDefault="001859A4">
      <w:pPr>
        <w:pStyle w:val="Textpoznmkypodiarou"/>
        <w:rPr>
          <w:rFonts w:asciiTheme="minorHAnsi" w:hAnsiTheme="minorHAnsi" w:cstheme="minorHAnsi"/>
        </w:rPr>
      </w:pPr>
      <w:r w:rsidRPr="0050296E">
        <w:rPr>
          <w:rStyle w:val="Odkaznapoznmkupodiarou"/>
          <w:rFonts w:asciiTheme="minorHAnsi" w:hAnsiTheme="minorHAnsi" w:cstheme="minorHAnsi"/>
        </w:rPr>
        <w:footnoteRef/>
      </w:r>
      <w:r w:rsidRPr="0050296E">
        <w:rPr>
          <w:rFonts w:asciiTheme="minorHAnsi" w:hAnsiTheme="minorHAnsi" w:cstheme="minorHAnsi"/>
        </w:rPr>
        <w:t xml:space="preserve"> </w:t>
      </w:r>
      <w:r w:rsidRPr="0050296E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  <w:footnote w:id="8">
    <w:p w14:paraId="3CF2D3C1" w14:textId="77777777" w:rsidR="00C031A5" w:rsidRDefault="00C031A5" w:rsidP="00C031A5">
      <w:pPr>
        <w:pStyle w:val="Textpoznmkypodiarou"/>
        <w:ind w:left="142" w:hanging="142"/>
      </w:pPr>
      <w:r w:rsidRPr="0050296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0296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Napr. </w:t>
      </w:r>
      <w:r w:rsidRPr="0050296E">
        <w:rPr>
          <w:rFonts w:asciiTheme="minorHAnsi" w:hAnsiTheme="minorHAnsi" w:cstheme="minorHAnsi"/>
          <w:sz w:val="16"/>
          <w:szCs w:val="16"/>
        </w:rPr>
        <w:t>HORIZONT 2020,</w:t>
      </w:r>
      <w:r>
        <w:rPr>
          <w:rFonts w:asciiTheme="minorHAnsi" w:hAnsiTheme="minorHAnsi" w:cstheme="minorHAnsi"/>
          <w:sz w:val="16"/>
          <w:szCs w:val="16"/>
        </w:rPr>
        <w:t xml:space="preserve"> HORIZONT Európa,</w:t>
      </w:r>
      <w:r w:rsidRPr="0050296E">
        <w:rPr>
          <w:rFonts w:asciiTheme="minorHAnsi" w:hAnsiTheme="minorHAnsi" w:cstheme="minorHAnsi"/>
          <w:sz w:val="16"/>
          <w:szCs w:val="16"/>
        </w:rPr>
        <w:t xml:space="preserve"> </w:t>
      </w:r>
      <w:r w:rsidRPr="00C031A5">
        <w:rPr>
          <w:rFonts w:asciiTheme="minorHAnsi" w:hAnsiTheme="minorHAnsi" w:cstheme="minorHAnsi"/>
          <w:sz w:val="16"/>
          <w:szCs w:val="16"/>
        </w:rPr>
        <w:t>Digitálna Európa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C031A5">
        <w:rPr>
          <w:rFonts w:asciiTheme="minorHAnsi" w:hAnsiTheme="minorHAnsi" w:cstheme="minorHAnsi"/>
          <w:sz w:val="16"/>
          <w:szCs w:val="16"/>
        </w:rPr>
        <w:t xml:space="preserve">Nástroj na prepájanie Európy </w:t>
      </w:r>
      <w:r>
        <w:rPr>
          <w:rFonts w:asciiTheme="minorHAnsi" w:hAnsiTheme="minorHAnsi" w:cstheme="minorHAnsi"/>
          <w:sz w:val="16"/>
          <w:szCs w:val="16"/>
        </w:rPr>
        <w:t>(</w:t>
      </w:r>
      <w:r w:rsidRPr="00C031A5">
        <w:rPr>
          <w:rFonts w:asciiTheme="minorHAnsi" w:hAnsiTheme="minorHAnsi" w:cstheme="minorHAnsi"/>
          <w:sz w:val="16"/>
          <w:szCs w:val="16"/>
        </w:rPr>
        <w:t>CEF</w:t>
      </w:r>
      <w:r>
        <w:rPr>
          <w:rFonts w:asciiTheme="minorHAnsi" w:hAnsiTheme="minorHAnsi" w:cstheme="minorHAnsi"/>
          <w:sz w:val="16"/>
          <w:szCs w:val="16"/>
        </w:rPr>
        <w:t xml:space="preserve">), </w:t>
      </w:r>
      <w:r w:rsidRPr="0050296E">
        <w:rPr>
          <w:rFonts w:asciiTheme="minorHAnsi" w:hAnsiTheme="minorHAnsi" w:cstheme="minorHAnsi"/>
          <w:sz w:val="16"/>
          <w:szCs w:val="16"/>
        </w:rPr>
        <w:t xml:space="preserve">Erasmus+, COSME, Program Kreatívna Európa, Program Európa pre občanov, LIFE, IEE III, Tretí akčný program pre Úniu v oblasti zdravia, Program Spravodlivosť,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Daphne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 xml:space="preserve">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Hercule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 xml:space="preserve"> III, Program 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Pericles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>, Program EÚ pre Zamestnanosť a sociálnu inováciu (</w:t>
      </w:r>
      <w:proofErr w:type="spellStart"/>
      <w:r w:rsidRPr="0050296E">
        <w:rPr>
          <w:rFonts w:asciiTheme="minorHAnsi" w:hAnsiTheme="minorHAnsi" w:cstheme="minorHAnsi"/>
          <w:sz w:val="16"/>
          <w:szCs w:val="16"/>
        </w:rPr>
        <w:t>EaSI</w:t>
      </w:r>
      <w:proofErr w:type="spellEnd"/>
      <w:r w:rsidRPr="0050296E">
        <w:rPr>
          <w:rFonts w:asciiTheme="minorHAnsi" w:hAnsiTheme="minorHAnsi" w:cstheme="minorHAnsi"/>
          <w:sz w:val="16"/>
          <w:szCs w:val="16"/>
        </w:rPr>
        <w:t>), Program ROMACT a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50296E">
        <w:rPr>
          <w:rFonts w:asciiTheme="minorHAnsi" w:hAnsiTheme="minorHAnsi" w:cstheme="minorHAnsi"/>
          <w:sz w:val="16"/>
          <w:szCs w:val="16"/>
        </w:rPr>
        <w:t>ROMED</w:t>
      </w:r>
      <w:r>
        <w:rPr>
          <w:rFonts w:asciiTheme="minorHAnsi" w:hAnsiTheme="minorHAnsi" w:cstheme="minorHAnsi"/>
          <w:sz w:val="16"/>
          <w:szCs w:val="16"/>
        </w:rPr>
        <w:t xml:space="preserve"> a ďalšie</w:t>
      </w:r>
    </w:p>
  </w:footnote>
  <w:footnote w:id="9">
    <w:p w14:paraId="4AB26409" w14:textId="77777777" w:rsidR="001859A4" w:rsidRPr="00F55CE4" w:rsidRDefault="001859A4">
      <w:pPr>
        <w:pStyle w:val="Textpoznmkypodiarou"/>
        <w:rPr>
          <w:rFonts w:asciiTheme="minorHAnsi" w:hAnsiTheme="minorHAnsi" w:cstheme="minorHAnsi"/>
        </w:rPr>
      </w:pPr>
      <w:r w:rsidRPr="00F55CE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55CE4">
        <w:rPr>
          <w:rFonts w:asciiTheme="minorHAnsi" w:hAnsiTheme="minorHAnsi" w:cstheme="minorHAnsi"/>
        </w:rPr>
        <w:t xml:space="preserve"> </w:t>
      </w:r>
      <w:r w:rsidRPr="00F55CE4">
        <w:rPr>
          <w:rFonts w:asciiTheme="minorHAnsi" w:hAnsiTheme="minorHAnsi" w:cstheme="minorHAnsi"/>
          <w:sz w:val="16"/>
          <w:szCs w:val="16"/>
        </w:rPr>
        <w:t>V prípade odpovede „Nie“, ponecháva sa tabuľka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97423" w14:textId="77777777" w:rsidR="00192285" w:rsidRPr="00C02BA5" w:rsidRDefault="00AB1E03" w:rsidP="00192285">
    <w:pPr>
      <w:pStyle w:val="Hlavika"/>
      <w:rPr>
        <w:i/>
        <w:sz w:val="20"/>
      </w:rPr>
    </w:pPr>
    <w:r w:rsidRPr="00C02BA5">
      <w:rPr>
        <w:i/>
        <w:sz w:val="20"/>
      </w:rPr>
      <w:t xml:space="preserve">Príloha výzvy č.8 – Synergické a komplementárne účinky </w:t>
    </w:r>
  </w:p>
  <w:p w14:paraId="09892B06" w14:textId="77777777" w:rsidR="00192285" w:rsidRDefault="002404FE">
    <w:pPr>
      <w:pStyle w:val="Hlavika"/>
    </w:pPr>
  </w:p>
  <w:p w14:paraId="6E444384" w14:textId="77777777" w:rsidR="008663AC" w:rsidRDefault="00412177">
    <w:pPr>
      <w:pStyle w:val="Hlavika"/>
    </w:pPr>
    <w:r w:rsidRPr="00804E4D">
      <w:rPr>
        <w:rFonts w:ascii="Arial Narrow" w:hAnsi="Arial Narrow"/>
      </w:rPr>
      <w:tab/>
    </w:r>
    <w:r w:rsidR="00B16851" w:rsidRPr="00B16851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6B2EBE6A" wp14:editId="7B4BDFF1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1341967" cy="303519"/>
          <wp:effectExtent l="0" t="0" r="0" b="1905"/>
          <wp:wrapNone/>
          <wp:docPr id="48" name="Obrázo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6851" w:rsidRPr="00B16851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8DB0F12" wp14:editId="76DDFC61">
          <wp:simplePos x="0" y="0"/>
          <wp:positionH relativeFrom="column">
            <wp:posOffset>2224405</wp:posOffset>
          </wp:positionH>
          <wp:positionV relativeFrom="paragraph">
            <wp:posOffset>-635</wp:posOffset>
          </wp:positionV>
          <wp:extent cx="826936" cy="589618"/>
          <wp:effectExtent l="0" t="0" r="0" b="1270"/>
          <wp:wrapNone/>
          <wp:docPr id="46" name="Obrázok 46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851" w:rsidRPr="00B16851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3D280315" wp14:editId="430B218F">
          <wp:simplePos x="0" y="0"/>
          <wp:positionH relativeFrom="column">
            <wp:posOffset>4476115</wp:posOffset>
          </wp:positionH>
          <wp:positionV relativeFrom="paragraph">
            <wp:posOffset>184785</wp:posOffset>
          </wp:positionV>
          <wp:extent cx="999066" cy="312750"/>
          <wp:effectExtent l="0" t="0" r="0" b="0"/>
          <wp:wrapNone/>
          <wp:docPr id="47" name="Obrázo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7695"/>
    <w:multiLevelType w:val="hybridMultilevel"/>
    <w:tmpl w:val="18C808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0208"/>
    <w:multiLevelType w:val="hybridMultilevel"/>
    <w:tmpl w:val="5B4043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327F0"/>
    <w:multiLevelType w:val="hybridMultilevel"/>
    <w:tmpl w:val="A216B6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C4238"/>
    <w:multiLevelType w:val="hybridMultilevel"/>
    <w:tmpl w:val="49ACBB5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287" w:hanging="317"/>
      </w:pPr>
      <w:rPr>
        <w:rFonts w:ascii="Arial Narrow" w:hAnsi="Arial Narrow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4" w15:restartNumberingAfterBreak="0">
    <w:nsid w:val="2FFC17E0"/>
    <w:multiLevelType w:val="hybridMultilevel"/>
    <w:tmpl w:val="20F8176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0543A"/>
    <w:multiLevelType w:val="hybridMultilevel"/>
    <w:tmpl w:val="0ED09E7C"/>
    <w:lvl w:ilvl="0" w:tplc="CDA003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B184C"/>
    <w:multiLevelType w:val="hybridMultilevel"/>
    <w:tmpl w:val="958EE41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A5A69"/>
    <w:multiLevelType w:val="hybridMultilevel"/>
    <w:tmpl w:val="782A8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D38C2"/>
    <w:multiLevelType w:val="hybridMultilevel"/>
    <w:tmpl w:val="557CE698"/>
    <w:lvl w:ilvl="0" w:tplc="041B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9" w15:restartNumberingAfterBreak="0">
    <w:nsid w:val="5FB026B3"/>
    <w:multiLevelType w:val="hybridMultilevel"/>
    <w:tmpl w:val="BF465A8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10" w15:restartNumberingAfterBreak="0">
    <w:nsid w:val="64AD0EBE"/>
    <w:multiLevelType w:val="hybridMultilevel"/>
    <w:tmpl w:val="8042EB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62503"/>
    <w:multiLevelType w:val="hybridMultilevel"/>
    <w:tmpl w:val="37BEDBEE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85D1A"/>
    <w:multiLevelType w:val="hybridMultilevel"/>
    <w:tmpl w:val="F8E892FE"/>
    <w:lvl w:ilvl="0" w:tplc="F64C4CAE">
      <w:start w:val="1"/>
      <w:numFmt w:val="bullet"/>
      <w:lvlText w:val="−"/>
      <w:lvlJc w:val="left"/>
      <w:pPr>
        <w:ind w:left="424" w:hanging="317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  <w:num w:numId="11">
    <w:abstractNumId w:val="1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0E"/>
    <w:rsid w:val="00043279"/>
    <w:rsid w:val="000D09B0"/>
    <w:rsid w:val="001403EA"/>
    <w:rsid w:val="001859A4"/>
    <w:rsid w:val="001B1EBB"/>
    <w:rsid w:val="001E3621"/>
    <w:rsid w:val="00202940"/>
    <w:rsid w:val="00212BE6"/>
    <w:rsid w:val="00212F8E"/>
    <w:rsid w:val="00232F40"/>
    <w:rsid w:val="002404FE"/>
    <w:rsid w:val="002744C9"/>
    <w:rsid w:val="002F176A"/>
    <w:rsid w:val="00322572"/>
    <w:rsid w:val="00357CC8"/>
    <w:rsid w:val="00363FE9"/>
    <w:rsid w:val="00366E0D"/>
    <w:rsid w:val="00412177"/>
    <w:rsid w:val="00445EBD"/>
    <w:rsid w:val="00451F05"/>
    <w:rsid w:val="004551C5"/>
    <w:rsid w:val="00465811"/>
    <w:rsid w:val="00481AA4"/>
    <w:rsid w:val="00491C29"/>
    <w:rsid w:val="004F1C5E"/>
    <w:rsid w:val="004F33BE"/>
    <w:rsid w:val="0050296E"/>
    <w:rsid w:val="005339EC"/>
    <w:rsid w:val="00545A16"/>
    <w:rsid w:val="00561AC8"/>
    <w:rsid w:val="005708CE"/>
    <w:rsid w:val="00580577"/>
    <w:rsid w:val="005A06BC"/>
    <w:rsid w:val="00660A87"/>
    <w:rsid w:val="006A1B84"/>
    <w:rsid w:val="006A60D1"/>
    <w:rsid w:val="006A7216"/>
    <w:rsid w:val="006E5D1D"/>
    <w:rsid w:val="00717E92"/>
    <w:rsid w:val="00737DDD"/>
    <w:rsid w:val="0076419A"/>
    <w:rsid w:val="00764B6E"/>
    <w:rsid w:val="00780BB2"/>
    <w:rsid w:val="007C0FCE"/>
    <w:rsid w:val="008135D2"/>
    <w:rsid w:val="00825A9A"/>
    <w:rsid w:val="0084001F"/>
    <w:rsid w:val="00861309"/>
    <w:rsid w:val="008622E9"/>
    <w:rsid w:val="008B3318"/>
    <w:rsid w:val="008D4C71"/>
    <w:rsid w:val="008D65C3"/>
    <w:rsid w:val="009918A2"/>
    <w:rsid w:val="009B1D29"/>
    <w:rsid w:val="009C26F7"/>
    <w:rsid w:val="009D5A44"/>
    <w:rsid w:val="00A316E2"/>
    <w:rsid w:val="00A517AB"/>
    <w:rsid w:val="00A555C7"/>
    <w:rsid w:val="00A60A59"/>
    <w:rsid w:val="00AB1E03"/>
    <w:rsid w:val="00AB5928"/>
    <w:rsid w:val="00AC6CF2"/>
    <w:rsid w:val="00AD609E"/>
    <w:rsid w:val="00AE1087"/>
    <w:rsid w:val="00B12219"/>
    <w:rsid w:val="00B16851"/>
    <w:rsid w:val="00B25B62"/>
    <w:rsid w:val="00B467A8"/>
    <w:rsid w:val="00B65F30"/>
    <w:rsid w:val="00B75F05"/>
    <w:rsid w:val="00BB2CBB"/>
    <w:rsid w:val="00C02BA5"/>
    <w:rsid w:val="00C031A5"/>
    <w:rsid w:val="00C2380E"/>
    <w:rsid w:val="00D10F9E"/>
    <w:rsid w:val="00DD5C80"/>
    <w:rsid w:val="00E04EBC"/>
    <w:rsid w:val="00E12B8E"/>
    <w:rsid w:val="00E149F0"/>
    <w:rsid w:val="00E26BC3"/>
    <w:rsid w:val="00E40107"/>
    <w:rsid w:val="00E56600"/>
    <w:rsid w:val="00E73A8B"/>
    <w:rsid w:val="00EB1565"/>
    <w:rsid w:val="00F24223"/>
    <w:rsid w:val="00F37F89"/>
    <w:rsid w:val="00F528CE"/>
    <w:rsid w:val="00F55CE4"/>
    <w:rsid w:val="00F63ED2"/>
    <w:rsid w:val="00F772A6"/>
    <w:rsid w:val="00FA7CCB"/>
    <w:rsid w:val="00FB6882"/>
    <w:rsid w:val="00FE11AE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DD0008"/>
  <w15:chartTrackingRefBased/>
  <w15:docId w15:val="{78239CED-E0A3-4835-A0AF-6F8EE160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38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C2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2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380E"/>
  </w:style>
  <w:style w:type="paragraph" w:styleId="Pta">
    <w:name w:val="footer"/>
    <w:basedOn w:val="Normlny"/>
    <w:link w:val="PtaChar"/>
    <w:uiPriority w:val="99"/>
    <w:unhideWhenUsed/>
    <w:rsid w:val="00C2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380E"/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unhideWhenUsed/>
    <w:qFormat/>
    <w:rsid w:val="00C2380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C2380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C2380E"/>
    <w:rPr>
      <w:vertAlign w:val="superscript"/>
    </w:rPr>
  </w:style>
  <w:style w:type="paragraph" w:customStyle="1" w:styleId="paragraph">
    <w:name w:val="paragraph"/>
    <w:basedOn w:val="Normlny"/>
    <w:rsid w:val="00C23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F3B02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B1221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B25B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25B6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25B6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5B6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5B6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0296E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A1B8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A1B8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A1B84"/>
    <w:rPr>
      <w:vertAlign w:val="superscript"/>
    </w:rPr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compact,Normal bullet 2,Paragraphe de liste 2,Reference list,2,L"/>
    <w:basedOn w:val="Normlny"/>
    <w:link w:val="OdsekzoznamuChar"/>
    <w:uiPriority w:val="34"/>
    <w:qFormat/>
    <w:rsid w:val="00E12B8E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 compact Char"/>
    <w:basedOn w:val="Predvolenpsmoodseku"/>
    <w:link w:val="Odsekzoznamu"/>
    <w:uiPriority w:val="34"/>
    <w:qFormat/>
    <w:locked/>
    <w:rsid w:val="00E12B8E"/>
  </w:style>
  <w:style w:type="paragraph" w:customStyle="1" w:styleId="TableParagraph">
    <w:name w:val="Table Paragraph"/>
    <w:basedOn w:val="Normlny"/>
    <w:uiPriority w:val="1"/>
    <w:qFormat/>
    <w:rsid w:val="00E12B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rsid w:val="00E40107"/>
    <w:pPr>
      <w:spacing w:line="240" w:lineRule="exact"/>
    </w:pPr>
    <w:rPr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517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itms21.sk/vyhlasena-vyzva/?id=36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AF453-0B3B-4BC2-A6B5-FC040ADFBC8B}"/>
      </w:docPartPr>
      <w:docPartBody>
        <w:p w:rsidR="00B57ABD" w:rsidRDefault="000B70C6"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E617F938E1549B6B19E0ED21736B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EC8D7B-4EA4-4D14-80BC-02F16E50B9A0}"/>
      </w:docPartPr>
      <w:docPartBody>
        <w:p w:rsidR="00B57ABD" w:rsidRDefault="000B70C6" w:rsidP="000B70C6">
          <w:pPr>
            <w:pStyle w:val="1E617F938E1549B6B19E0ED21736B1CB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531403120544C3C8D8E7495A8F413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A2DCD-46AA-41BF-A93A-3A0DB13D4EE1}"/>
      </w:docPartPr>
      <w:docPartBody>
        <w:p w:rsidR="00CA5E13" w:rsidRDefault="005559AC" w:rsidP="005559AC">
          <w:pPr>
            <w:pStyle w:val="1531403120544C3C8D8E7495A8F413E6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13AED0FC56724FDDAF62CA01265F6F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4DD373-D208-4EDD-9907-81C45D53B4E5}"/>
      </w:docPartPr>
      <w:docPartBody>
        <w:p w:rsidR="00CA5E13" w:rsidRDefault="005559AC" w:rsidP="005559AC">
          <w:pPr>
            <w:pStyle w:val="13AED0FC56724FDDAF62CA01265F6F78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A5CD6ADCC938448E8CA309094D194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234D24-84C0-4524-9637-FA23659270DC}"/>
      </w:docPartPr>
      <w:docPartBody>
        <w:p w:rsidR="00CA5E13" w:rsidRDefault="005559AC" w:rsidP="005559AC">
          <w:pPr>
            <w:pStyle w:val="A5CD6ADCC938448E8CA309094D194AA4"/>
          </w:pPr>
          <w:r w:rsidRPr="00445BEE">
            <w:rPr>
              <w:rStyle w:val="Zstupntext"/>
            </w:rPr>
            <w:t>Vyberte položku.</w:t>
          </w:r>
        </w:p>
      </w:docPartBody>
    </w:docPart>
    <w:docPart>
      <w:docPartPr>
        <w:name w:val="30ACF362FDCE4609BF1021A20F7D1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1A7DCF-5378-4FC5-9152-3D3D22DFAD20}"/>
      </w:docPartPr>
      <w:docPartBody>
        <w:p w:rsidR="00CA5E13" w:rsidRDefault="005559AC" w:rsidP="005559AC">
          <w:pPr>
            <w:pStyle w:val="30ACF362FDCE4609BF1021A20F7D1E68"/>
          </w:pPr>
          <w:r w:rsidRPr="00445BE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C6"/>
    <w:rsid w:val="000316E8"/>
    <w:rsid w:val="000B70C6"/>
    <w:rsid w:val="003B595B"/>
    <w:rsid w:val="005559AC"/>
    <w:rsid w:val="00682515"/>
    <w:rsid w:val="00755048"/>
    <w:rsid w:val="009F2D1C"/>
    <w:rsid w:val="009F3629"/>
    <w:rsid w:val="00A96C50"/>
    <w:rsid w:val="00B57A51"/>
    <w:rsid w:val="00B57ABD"/>
    <w:rsid w:val="00CA5E13"/>
    <w:rsid w:val="00F0200A"/>
    <w:rsid w:val="00FB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B2408"/>
    <w:rPr>
      <w:color w:val="808080"/>
    </w:rPr>
  </w:style>
  <w:style w:type="paragraph" w:customStyle="1" w:styleId="8843F79E407244C5B2B2048339C83A5D">
    <w:name w:val="8843F79E407244C5B2B2048339C83A5D"/>
    <w:rsid w:val="000B70C6"/>
  </w:style>
  <w:style w:type="paragraph" w:customStyle="1" w:styleId="33DC662DC42143908502ADB66044E622">
    <w:name w:val="33DC662DC42143908502ADB66044E622"/>
    <w:rsid w:val="000B70C6"/>
    <w:rPr>
      <w:rFonts w:eastAsiaTheme="minorHAnsi"/>
      <w:lang w:eastAsia="en-US"/>
    </w:rPr>
  </w:style>
  <w:style w:type="paragraph" w:customStyle="1" w:styleId="33DC662DC42143908502ADB66044E6221">
    <w:name w:val="33DC662DC42143908502ADB66044E6221"/>
    <w:rsid w:val="000B70C6"/>
    <w:rPr>
      <w:rFonts w:eastAsiaTheme="minorHAnsi"/>
      <w:lang w:eastAsia="en-US"/>
    </w:rPr>
  </w:style>
  <w:style w:type="paragraph" w:customStyle="1" w:styleId="1E617F938E1549B6B19E0ED21736B1CB">
    <w:name w:val="1E617F938E1549B6B19E0ED21736B1CB"/>
    <w:rsid w:val="000B70C6"/>
  </w:style>
  <w:style w:type="paragraph" w:customStyle="1" w:styleId="CFA679B9510C483298B8F0043382B40D">
    <w:name w:val="CFA679B9510C483298B8F0043382B40D"/>
    <w:rsid w:val="000B70C6"/>
  </w:style>
  <w:style w:type="paragraph" w:customStyle="1" w:styleId="25580435E49D48FFB3389EB1E54E5072">
    <w:name w:val="25580435E49D48FFB3389EB1E54E5072"/>
    <w:rsid w:val="000B70C6"/>
  </w:style>
  <w:style w:type="paragraph" w:customStyle="1" w:styleId="15A62AC1F1C340FD9BFF0846C7D88079">
    <w:name w:val="15A62AC1F1C340FD9BFF0846C7D88079"/>
    <w:rsid w:val="000B70C6"/>
  </w:style>
  <w:style w:type="paragraph" w:customStyle="1" w:styleId="77F264D6C25E42DC8B9ECF4CB4569007">
    <w:name w:val="77F264D6C25E42DC8B9ECF4CB4569007"/>
    <w:rsid w:val="000B70C6"/>
  </w:style>
  <w:style w:type="paragraph" w:customStyle="1" w:styleId="1531403120544C3C8D8E7495A8F413E6">
    <w:name w:val="1531403120544C3C8D8E7495A8F413E6"/>
    <w:rsid w:val="005559AC"/>
  </w:style>
  <w:style w:type="paragraph" w:customStyle="1" w:styleId="13AED0FC56724FDDAF62CA01265F6F78">
    <w:name w:val="13AED0FC56724FDDAF62CA01265F6F78"/>
    <w:rsid w:val="005559AC"/>
  </w:style>
  <w:style w:type="paragraph" w:customStyle="1" w:styleId="A5CD6ADCC938448E8CA309094D194AA4">
    <w:name w:val="A5CD6ADCC938448E8CA309094D194AA4"/>
    <w:rsid w:val="005559AC"/>
  </w:style>
  <w:style w:type="paragraph" w:customStyle="1" w:styleId="30ACF362FDCE4609BF1021A20F7D1E68">
    <w:name w:val="30ACF362FDCE4609BF1021A20F7D1E68"/>
    <w:rsid w:val="005559AC"/>
  </w:style>
  <w:style w:type="paragraph" w:customStyle="1" w:styleId="797C9EEB00D144A1A1854A49ED557805">
    <w:name w:val="797C9EEB00D144A1A1854A49ED557805"/>
    <w:rsid w:val="00FB2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8EF63-0749-4A0E-9C1C-BB0FB7EF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Hájeková, Magdaléna</dc:creator>
  <cp:keywords/>
  <dc:description/>
  <cp:lastModifiedBy>Autor</cp:lastModifiedBy>
  <cp:revision>22</cp:revision>
  <dcterms:created xsi:type="dcterms:W3CDTF">2024-10-21T12:39:00Z</dcterms:created>
  <dcterms:modified xsi:type="dcterms:W3CDTF">2025-07-08T13:02:00Z</dcterms:modified>
</cp:coreProperties>
</file>